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B8851" w14:textId="58150451" w:rsidR="00FA539D" w:rsidRPr="00D61470" w:rsidRDefault="00D61470" w:rsidP="00D61470">
      <w:pPr>
        <w:autoSpaceDE w:val="0"/>
        <w:autoSpaceDN w:val="0"/>
        <w:adjustRightInd w:val="0"/>
        <w:spacing w:after="0" w:line="240" w:lineRule="auto"/>
        <w:rPr>
          <w:rFonts w:ascii="Proximus-Regular" w:hAnsi="Proximus-Regular" w:cs="Proximus-Regular"/>
          <w:sz w:val="52"/>
          <w:szCs w:val="52"/>
          <w:lang w:val="fr-BE"/>
        </w:rPr>
      </w:pPr>
      <w:r>
        <w:rPr>
          <w:rFonts w:ascii="Calibri" w:eastAsia="Times New Roman" w:hAnsi="Calibri" w:cs="Times New Roman"/>
          <w:noProof/>
          <w:color w:val="000000"/>
          <w:sz w:val="24"/>
          <w:szCs w:val="24"/>
        </w:rPr>
        <w:drawing>
          <wp:anchor distT="0" distB="0" distL="114300" distR="114300" simplePos="0" relativeHeight="251658240" behindDoc="0" locked="0" layoutInCell="1" allowOverlap="1" wp14:editId="0CC3598E">
            <wp:simplePos x="0" y="0"/>
            <wp:positionH relativeFrom="margin">
              <wp:posOffset>-632167</wp:posOffset>
            </wp:positionH>
            <wp:positionV relativeFrom="margin">
              <wp:posOffset>-592015</wp:posOffset>
            </wp:positionV>
            <wp:extent cx="1506220" cy="593725"/>
            <wp:effectExtent l="0" t="0" r="0" b="0"/>
            <wp:wrapSquare wrapText="bothSides"/>
            <wp:docPr id="2" name="Image 2" descr="V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6220" cy="5937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FA539D" w:rsidRPr="00FA539D">
        <w:rPr>
          <w:rFonts w:ascii="Proximus-Regular" w:hAnsi="Proximus-Regular" w:cs="Proximus-Regular"/>
          <w:sz w:val="52"/>
          <w:szCs w:val="52"/>
          <w:lang w:val="fr-BE"/>
        </w:rPr>
        <w:t>Appendix</w:t>
      </w:r>
      <w:proofErr w:type="spellEnd"/>
      <w:r w:rsidR="00FA539D" w:rsidRPr="00FA539D">
        <w:rPr>
          <w:rFonts w:ascii="Proximus-Regular" w:hAnsi="Proximus-Regular" w:cs="Proximus-Regular"/>
          <w:sz w:val="52"/>
          <w:szCs w:val="52"/>
          <w:lang w:val="fr-BE"/>
        </w:rPr>
        <w:t xml:space="preserve"> V</w:t>
      </w:r>
      <w:r>
        <w:rPr>
          <w:rFonts w:ascii="Proximus-Regular" w:hAnsi="Proximus-Regular" w:cs="Proximus-Regular"/>
          <w:sz w:val="52"/>
          <w:szCs w:val="52"/>
          <w:lang w:val="fr-BE"/>
        </w:rPr>
        <w:t xml:space="preserve"> : </w:t>
      </w:r>
      <w:r w:rsidR="00C10D29">
        <w:rPr>
          <w:rFonts w:ascii="Proximus-Regular" w:hAnsi="Proximus-Regular" w:cs="Proximus-Regular"/>
          <w:sz w:val="52"/>
          <w:szCs w:val="52"/>
          <w:lang w:val="fr-BE"/>
        </w:rPr>
        <w:t xml:space="preserve">Colocation </w:t>
      </w:r>
      <w:r w:rsidR="00FA539D" w:rsidRPr="00FA539D">
        <w:rPr>
          <w:rFonts w:ascii="Proximus-Regular" w:hAnsi="Proximus-Regular" w:cs="Proximus-Regular"/>
          <w:sz w:val="52"/>
          <w:szCs w:val="52"/>
          <w:lang w:val="fr-BE"/>
        </w:rPr>
        <w:t>Price List</w:t>
      </w:r>
    </w:p>
    <w:p w14:paraId="77FC8500" w14:textId="5B076F74" w:rsidR="00116410" w:rsidRDefault="00116410">
      <w:pPr>
        <w:rPr>
          <w:rFonts w:ascii="Calibri" w:eastAsia="Times New Roman" w:hAnsi="Calibri" w:cs="Times New Roman"/>
          <w:color w:val="000000"/>
          <w:sz w:val="24"/>
          <w:szCs w:val="24"/>
          <w:lang w:val="fr-BE"/>
        </w:rPr>
      </w:pPr>
    </w:p>
    <w:p w14:paraId="69CA35B8" w14:textId="483BACF9" w:rsidR="007D1B44" w:rsidRPr="00060188" w:rsidRDefault="00FA539D" w:rsidP="007D1B44">
      <w:pPr>
        <w:pStyle w:val="Paragraphedeliste"/>
        <w:numPr>
          <w:ilvl w:val="0"/>
          <w:numId w:val="1"/>
        </w:numPr>
        <w:rPr>
          <w:rFonts w:ascii="Calibri" w:eastAsia="Times New Roman" w:hAnsi="Calibri" w:cs="Times New Roman"/>
          <w:b/>
          <w:color w:val="000000"/>
          <w:sz w:val="24"/>
          <w:szCs w:val="24"/>
          <w:lang w:val="fr-BE"/>
        </w:rPr>
      </w:pPr>
      <w:r>
        <w:rPr>
          <w:rFonts w:ascii="Calibri" w:eastAsia="Times New Roman" w:hAnsi="Calibri" w:cs="Times New Roman"/>
          <w:b/>
          <w:color w:val="000000"/>
          <w:sz w:val="24"/>
          <w:szCs w:val="24"/>
          <w:lang w:val="fr-BE"/>
        </w:rPr>
        <w:t>Co</w:t>
      </w:r>
      <w:r w:rsidR="00951E90">
        <w:rPr>
          <w:rFonts w:ascii="Calibri" w:eastAsia="Times New Roman" w:hAnsi="Calibri" w:cs="Times New Roman"/>
          <w:b/>
          <w:color w:val="000000"/>
          <w:sz w:val="24"/>
          <w:szCs w:val="24"/>
          <w:lang w:val="fr-BE"/>
        </w:rPr>
        <w:t>û</w:t>
      </w:r>
      <w:r>
        <w:rPr>
          <w:rFonts w:ascii="Calibri" w:eastAsia="Times New Roman" w:hAnsi="Calibri" w:cs="Times New Roman"/>
          <w:b/>
          <w:color w:val="000000"/>
          <w:sz w:val="24"/>
          <w:szCs w:val="24"/>
          <w:lang w:val="fr-BE"/>
        </w:rPr>
        <w:t>ts initiaux</w:t>
      </w:r>
      <w:r w:rsidR="007D1B44" w:rsidRPr="00060188">
        <w:rPr>
          <w:rFonts w:ascii="Calibri" w:eastAsia="Times New Roman" w:hAnsi="Calibri" w:cs="Times New Roman"/>
          <w:b/>
          <w:color w:val="000000"/>
          <w:sz w:val="24"/>
          <w:szCs w:val="24"/>
          <w:lang w:val="fr-BE"/>
        </w:rPr>
        <w:t xml:space="preserve">: </w:t>
      </w:r>
    </w:p>
    <w:p w14:paraId="0D7BCCC8" w14:textId="77777777" w:rsidR="007D1B44" w:rsidRDefault="007D1B44" w:rsidP="007D1B44">
      <w:pPr>
        <w:pStyle w:val="Paragraphedeliste"/>
        <w:rPr>
          <w:rFonts w:ascii="Calibri" w:eastAsia="Times New Roman" w:hAnsi="Calibri" w:cs="Times New Roman"/>
          <w:color w:val="000000"/>
          <w:sz w:val="24"/>
          <w:szCs w:val="24"/>
          <w:lang w:val="fr-BE"/>
        </w:rPr>
      </w:pPr>
    </w:p>
    <w:p w14:paraId="616BDA0A" w14:textId="77777777" w:rsidR="00BE4FC8" w:rsidRPr="00E979FA" w:rsidRDefault="00BE4FC8" w:rsidP="00BE4FC8">
      <w:pPr>
        <w:pStyle w:val="Paragraphedeliste"/>
        <w:numPr>
          <w:ilvl w:val="2"/>
          <w:numId w:val="1"/>
        </w:numPr>
        <w:rPr>
          <w:rFonts w:eastAsia="Times New Roman" w:cstheme="minorHAnsi"/>
          <w:color w:val="000000"/>
          <w:u w:val="single"/>
          <w:lang w:val="fr-BE"/>
        </w:rPr>
      </w:pPr>
      <w:r w:rsidRPr="00E979FA">
        <w:rPr>
          <w:rFonts w:eastAsia="Times New Roman" w:cstheme="minorHAnsi"/>
          <w:color w:val="000000"/>
          <w:u w:val="single"/>
          <w:lang w:val="fr-BE"/>
        </w:rPr>
        <w:t xml:space="preserve">Frais de devis </w:t>
      </w:r>
    </w:p>
    <w:p w14:paraId="0198931E" w14:textId="77777777" w:rsidR="00BE4FC8" w:rsidRPr="00E979FA" w:rsidRDefault="00BE4FC8" w:rsidP="00BE4FC8">
      <w:pPr>
        <w:pStyle w:val="Paragraphedeliste"/>
        <w:ind w:left="1080"/>
        <w:rPr>
          <w:rFonts w:eastAsia="Times New Roman" w:cstheme="minorHAnsi"/>
          <w:color w:val="000000"/>
          <w:lang w:val="fr-BE"/>
        </w:rPr>
      </w:pPr>
    </w:p>
    <w:tbl>
      <w:tblPr>
        <w:tblStyle w:val="TableNormal1"/>
        <w:tblW w:w="0" w:type="auto"/>
        <w:tblInd w:w="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2268"/>
      </w:tblGrid>
      <w:tr w:rsidR="00BE4FC8" w:rsidRPr="00E979FA" w14:paraId="7C417D1B" w14:textId="77777777" w:rsidTr="00E5480A">
        <w:trPr>
          <w:trHeight w:val="431"/>
        </w:trPr>
        <w:tc>
          <w:tcPr>
            <w:tcW w:w="2804" w:type="dxa"/>
          </w:tcPr>
          <w:p w14:paraId="5550A570" w14:textId="77777777" w:rsidR="00BE4FC8" w:rsidRPr="00E979FA" w:rsidRDefault="00BE4FC8" w:rsidP="00E5480A">
            <w:pPr>
              <w:pStyle w:val="TableParagraph"/>
              <w:spacing w:before="20"/>
              <w:ind w:left="816"/>
              <w:jc w:val="left"/>
              <w:rPr>
                <w:rFonts w:asciiTheme="minorHAnsi" w:hAnsiTheme="minorHAnsi" w:cstheme="minorHAnsi"/>
                <w:lang w:val="fr-BE"/>
              </w:rPr>
            </w:pPr>
            <w:r w:rsidRPr="00E979FA">
              <w:rPr>
                <w:rFonts w:asciiTheme="minorHAnsi" w:hAnsiTheme="minorHAnsi" w:cstheme="minorHAnsi"/>
                <w:w w:val="105"/>
                <w:lang w:val="fr-BE"/>
              </w:rPr>
              <w:t>Frais de devis</w:t>
            </w:r>
          </w:p>
        </w:tc>
        <w:tc>
          <w:tcPr>
            <w:tcW w:w="2268" w:type="dxa"/>
          </w:tcPr>
          <w:p w14:paraId="11E794BB" w14:textId="77777777" w:rsidR="00BE4FC8" w:rsidRPr="00E979FA" w:rsidRDefault="00BE4FC8" w:rsidP="00E5480A">
            <w:pPr>
              <w:pStyle w:val="TableParagraph"/>
              <w:spacing w:before="20"/>
              <w:ind w:left="0" w:right="568"/>
              <w:jc w:val="right"/>
              <w:rPr>
                <w:rFonts w:asciiTheme="minorHAnsi" w:hAnsiTheme="minorHAnsi" w:cstheme="minorHAnsi"/>
                <w:lang w:val="fr-BE"/>
              </w:rPr>
            </w:pPr>
            <w:r w:rsidRPr="00E979FA">
              <w:rPr>
                <w:rFonts w:asciiTheme="minorHAnsi" w:hAnsiTheme="minorHAnsi" w:cstheme="minorHAnsi"/>
                <w:w w:val="105"/>
                <w:lang w:val="fr-BE"/>
              </w:rPr>
              <w:t>EUR</w:t>
            </w:r>
          </w:p>
        </w:tc>
      </w:tr>
      <w:tr w:rsidR="00BE4FC8" w:rsidRPr="00E979FA" w14:paraId="29CE35A8" w14:textId="77777777" w:rsidTr="00E5480A">
        <w:trPr>
          <w:trHeight w:val="429"/>
        </w:trPr>
        <w:tc>
          <w:tcPr>
            <w:tcW w:w="2804" w:type="dxa"/>
          </w:tcPr>
          <w:p w14:paraId="77697755" w14:textId="77777777" w:rsidR="00BE4FC8" w:rsidRPr="00E979FA" w:rsidRDefault="00BE4FC8" w:rsidP="00E5480A">
            <w:pPr>
              <w:pStyle w:val="TableParagraph"/>
              <w:ind w:left="816"/>
              <w:jc w:val="left"/>
              <w:rPr>
                <w:rFonts w:asciiTheme="minorHAnsi" w:hAnsiTheme="minorHAnsi" w:cstheme="minorHAnsi"/>
                <w:lang w:val="fr-BE"/>
              </w:rPr>
            </w:pPr>
            <w:r w:rsidRPr="00E979FA">
              <w:rPr>
                <w:rFonts w:asciiTheme="minorHAnsi" w:hAnsiTheme="minorHAnsi" w:cstheme="minorHAnsi"/>
                <w:lang w:val="fr-BE"/>
              </w:rPr>
              <w:t>Chaque rack</w:t>
            </w:r>
          </w:p>
        </w:tc>
        <w:tc>
          <w:tcPr>
            <w:tcW w:w="2268" w:type="dxa"/>
          </w:tcPr>
          <w:p w14:paraId="2413E1E8" w14:textId="77777777" w:rsidR="00BE4FC8" w:rsidRPr="00E979FA" w:rsidRDefault="00BE4FC8" w:rsidP="00E5480A">
            <w:pPr>
              <w:pStyle w:val="TableParagraph"/>
              <w:ind w:left="0" w:right="445"/>
              <w:jc w:val="right"/>
              <w:rPr>
                <w:rFonts w:asciiTheme="minorHAnsi" w:hAnsiTheme="minorHAnsi" w:cstheme="minorHAnsi"/>
                <w:lang w:val="fr-BE"/>
              </w:rPr>
            </w:pPr>
            <w:r w:rsidRPr="00E979FA">
              <w:rPr>
                <w:rFonts w:asciiTheme="minorHAnsi" w:hAnsiTheme="minorHAnsi" w:cstheme="minorHAnsi"/>
                <w:w w:val="105"/>
                <w:lang w:val="fr-BE"/>
              </w:rPr>
              <w:t>224,87</w:t>
            </w:r>
          </w:p>
        </w:tc>
      </w:tr>
    </w:tbl>
    <w:p w14:paraId="66ED4698" w14:textId="77777777" w:rsidR="00BE4FC8" w:rsidRPr="00E979FA" w:rsidRDefault="00BE4FC8" w:rsidP="00BE4FC8">
      <w:pPr>
        <w:pStyle w:val="Paragraphedeliste"/>
        <w:ind w:left="1080"/>
        <w:rPr>
          <w:rFonts w:eastAsia="Times New Roman" w:cstheme="minorHAnsi"/>
          <w:color w:val="000000"/>
          <w:lang w:val="fr-BE"/>
        </w:rPr>
      </w:pPr>
    </w:p>
    <w:p w14:paraId="37BA29E2" w14:textId="77777777" w:rsidR="00BE4FC8" w:rsidRPr="00E979FA" w:rsidRDefault="00BE4FC8" w:rsidP="00BE4FC8">
      <w:pPr>
        <w:pStyle w:val="Paragraphedeliste"/>
        <w:numPr>
          <w:ilvl w:val="2"/>
          <w:numId w:val="1"/>
        </w:numPr>
        <w:rPr>
          <w:rFonts w:eastAsia="Times New Roman" w:cstheme="minorHAnsi"/>
          <w:color w:val="000000"/>
          <w:u w:val="single"/>
          <w:lang w:val="fr-BE"/>
        </w:rPr>
      </w:pPr>
      <w:r w:rsidRPr="00E979FA">
        <w:rPr>
          <w:rFonts w:eastAsia="Times New Roman" w:cstheme="minorHAnsi"/>
          <w:color w:val="000000"/>
          <w:u w:val="single"/>
          <w:lang w:val="fr-BE"/>
        </w:rPr>
        <w:t>Câble d’alimentation séparé</w:t>
      </w:r>
    </w:p>
    <w:p w14:paraId="7BE595D2" w14:textId="03AF4E3A" w:rsidR="00BE4FC8" w:rsidRPr="00E979FA" w:rsidRDefault="00BE4FC8" w:rsidP="00BE4FC8">
      <w:pPr>
        <w:pStyle w:val="PrformatHTML"/>
        <w:tabs>
          <w:tab w:val="clear" w:pos="916"/>
          <w:tab w:val="left" w:pos="993"/>
        </w:tabs>
        <w:ind w:left="1134"/>
        <w:jc w:val="both"/>
        <w:rPr>
          <w:rFonts w:asciiTheme="minorHAnsi" w:hAnsiTheme="minorHAnsi" w:cstheme="minorHAnsi"/>
          <w:color w:val="000000"/>
          <w:sz w:val="22"/>
          <w:szCs w:val="22"/>
        </w:rPr>
      </w:pPr>
      <w:r w:rsidRPr="00E979FA">
        <w:rPr>
          <w:rFonts w:asciiTheme="minorHAnsi" w:hAnsiTheme="minorHAnsi" w:cstheme="minorHAnsi"/>
          <w:color w:val="000000"/>
          <w:sz w:val="22"/>
          <w:szCs w:val="22"/>
          <w:lang w:eastAsia="en-US"/>
        </w:rPr>
        <w:t xml:space="preserve">Pour 230V : </w:t>
      </w:r>
      <w:r w:rsidR="00D61470">
        <w:rPr>
          <w:rFonts w:asciiTheme="minorHAnsi" w:hAnsiTheme="minorHAnsi" w:cstheme="minorHAnsi"/>
          <w:color w:val="000000"/>
          <w:sz w:val="22"/>
          <w:szCs w:val="22"/>
          <w:lang w:eastAsia="en-US"/>
        </w:rPr>
        <w:t>VOO</w:t>
      </w:r>
      <w:r w:rsidRPr="00E979FA">
        <w:rPr>
          <w:rFonts w:asciiTheme="minorHAnsi" w:hAnsiTheme="minorHAnsi" w:cstheme="minorHAnsi"/>
          <w:color w:val="000000"/>
          <w:sz w:val="22"/>
          <w:szCs w:val="22"/>
          <w:lang w:eastAsia="en-US"/>
        </w:rPr>
        <w:t xml:space="preserve"> exécutera les travaux si une alimentation supplémentaire est requise en plus de celle standard. </w:t>
      </w:r>
      <w:r w:rsidRPr="00E979FA">
        <w:rPr>
          <w:rFonts w:asciiTheme="minorHAnsi" w:hAnsiTheme="minorHAnsi" w:cstheme="minorHAnsi"/>
          <w:color w:val="000000"/>
          <w:sz w:val="22"/>
          <w:szCs w:val="22"/>
        </w:rPr>
        <w:t>Par conséquent, des fra</w:t>
      </w:r>
      <w:bookmarkStart w:id="0" w:name="_GoBack"/>
      <w:bookmarkEnd w:id="0"/>
      <w:r w:rsidRPr="00E979FA">
        <w:rPr>
          <w:rFonts w:asciiTheme="minorHAnsi" w:hAnsiTheme="minorHAnsi" w:cstheme="minorHAnsi"/>
          <w:color w:val="000000"/>
          <w:sz w:val="22"/>
          <w:szCs w:val="22"/>
        </w:rPr>
        <w:t>is fixes seront facturés à hauteur de 310,01 €</w:t>
      </w:r>
    </w:p>
    <w:p w14:paraId="02A86790" w14:textId="22C9346C" w:rsidR="00BE4FC8" w:rsidRPr="00281C78" w:rsidRDefault="00BE4FC8" w:rsidP="00D574E2">
      <w:pPr>
        <w:rPr>
          <w:rFonts w:cstheme="minorHAnsi"/>
          <w:color w:val="000000"/>
          <w:lang w:val="fr-BE"/>
        </w:rPr>
      </w:pPr>
    </w:p>
    <w:p w14:paraId="1199B0EB" w14:textId="47D10956" w:rsidR="00BE4FC8" w:rsidRDefault="00BE4FC8" w:rsidP="00BE4FC8">
      <w:pPr>
        <w:pStyle w:val="Paragraphedeliste"/>
        <w:numPr>
          <w:ilvl w:val="2"/>
          <w:numId w:val="1"/>
        </w:numPr>
        <w:rPr>
          <w:rFonts w:eastAsia="Times New Roman" w:cstheme="minorHAnsi"/>
          <w:color w:val="000000"/>
          <w:u w:val="single"/>
          <w:lang w:val="fr-BE"/>
        </w:rPr>
      </w:pPr>
      <w:r>
        <w:rPr>
          <w:rFonts w:eastAsia="Times New Roman" w:cstheme="minorHAnsi"/>
          <w:color w:val="000000"/>
          <w:u w:val="single"/>
          <w:lang w:val="fr-BE"/>
        </w:rPr>
        <w:t>C</w:t>
      </w:r>
      <w:r w:rsidR="00C10D29">
        <w:rPr>
          <w:rFonts w:eastAsia="Times New Roman" w:cstheme="minorHAnsi"/>
          <w:color w:val="000000"/>
          <w:u w:val="single"/>
          <w:lang w:val="fr-BE"/>
        </w:rPr>
        <w:t>â</w:t>
      </w:r>
      <w:r>
        <w:rPr>
          <w:rFonts w:eastAsia="Times New Roman" w:cstheme="minorHAnsi"/>
          <w:color w:val="000000"/>
          <w:u w:val="single"/>
          <w:lang w:val="fr-BE"/>
        </w:rPr>
        <w:t>blage</w:t>
      </w:r>
    </w:p>
    <w:p w14:paraId="5024E44A" w14:textId="47B2C226" w:rsidR="00BE4FC8" w:rsidRPr="00281C78" w:rsidRDefault="00BE4FC8" w:rsidP="00BE4FC8">
      <w:pPr>
        <w:ind w:left="360"/>
        <w:rPr>
          <w:rFonts w:eastAsia="Times New Roman" w:cstheme="minorHAnsi"/>
          <w:color w:val="000000"/>
          <w:lang w:val="fr-BE"/>
        </w:rPr>
      </w:pPr>
      <w:r w:rsidRPr="00281C78">
        <w:rPr>
          <w:rFonts w:eastAsia="Times New Roman" w:cstheme="minorHAnsi"/>
          <w:color w:val="000000"/>
          <w:lang w:val="fr-BE"/>
        </w:rPr>
        <w:t>Il est nécessaire d’introduire la fibre du domaine public vers la salle où est hébergé le rack du Bénéficiaire. Les co</w:t>
      </w:r>
      <w:r w:rsidR="00D87D7F">
        <w:rPr>
          <w:rFonts w:eastAsia="Times New Roman" w:cstheme="minorHAnsi"/>
          <w:color w:val="000000"/>
          <w:lang w:val="fr-BE"/>
        </w:rPr>
        <w:t>û</w:t>
      </w:r>
      <w:r w:rsidRPr="00281C78">
        <w:rPr>
          <w:rFonts w:eastAsia="Times New Roman" w:cstheme="minorHAnsi"/>
          <w:color w:val="000000"/>
          <w:lang w:val="fr-BE"/>
        </w:rPr>
        <w:t xml:space="preserve">ts seront calculés sur base d’un métré suite à un site </w:t>
      </w:r>
      <w:proofErr w:type="spellStart"/>
      <w:r w:rsidRPr="00281C78">
        <w:rPr>
          <w:rFonts w:eastAsia="Times New Roman" w:cstheme="minorHAnsi"/>
          <w:color w:val="000000"/>
          <w:lang w:val="fr-BE"/>
        </w:rPr>
        <w:t>survey</w:t>
      </w:r>
      <w:proofErr w:type="spellEnd"/>
      <w:r w:rsidRPr="00281C78">
        <w:rPr>
          <w:rFonts w:eastAsia="Times New Roman" w:cstheme="minorHAnsi"/>
          <w:color w:val="000000"/>
          <w:lang w:val="fr-BE"/>
        </w:rPr>
        <w:t xml:space="preserve"> réalisé en commun avec le Bénéficiaire (Le placement dans le bâtiment sera réalisé par </w:t>
      </w:r>
      <w:r w:rsidR="00D61470">
        <w:rPr>
          <w:rFonts w:eastAsia="Times New Roman" w:cstheme="minorHAnsi"/>
          <w:color w:val="000000"/>
          <w:lang w:val="fr-BE"/>
        </w:rPr>
        <w:t>VOO</w:t>
      </w:r>
      <w:r w:rsidR="00D87D7F">
        <w:rPr>
          <w:rFonts w:eastAsia="Times New Roman" w:cstheme="minorHAnsi"/>
          <w:color w:val="000000"/>
          <w:lang w:val="fr-BE"/>
        </w:rPr>
        <w:t xml:space="preserve"> et</w:t>
      </w:r>
      <w:r w:rsidRPr="00281C78">
        <w:rPr>
          <w:rFonts w:eastAsia="Times New Roman" w:cstheme="minorHAnsi"/>
          <w:color w:val="000000"/>
          <w:lang w:val="fr-BE"/>
        </w:rPr>
        <w:t xml:space="preserve"> les </w:t>
      </w:r>
      <w:r w:rsidR="00D87D7F">
        <w:rPr>
          <w:rFonts w:eastAsia="Times New Roman" w:cstheme="minorHAnsi"/>
          <w:color w:val="000000"/>
          <w:lang w:val="fr-BE"/>
        </w:rPr>
        <w:t>coût</w:t>
      </w:r>
      <w:r w:rsidRPr="00281C78">
        <w:rPr>
          <w:rFonts w:eastAsia="Times New Roman" w:cstheme="minorHAnsi"/>
          <w:color w:val="000000"/>
          <w:lang w:val="fr-BE"/>
        </w:rPr>
        <w:t xml:space="preserve">s </w:t>
      </w:r>
      <w:r w:rsidR="00D87D7F">
        <w:rPr>
          <w:rFonts w:eastAsia="Times New Roman" w:cstheme="minorHAnsi"/>
          <w:color w:val="000000"/>
          <w:lang w:val="fr-BE"/>
        </w:rPr>
        <w:t xml:space="preserve">seront </w:t>
      </w:r>
      <w:r w:rsidRPr="00281C78">
        <w:rPr>
          <w:rFonts w:eastAsia="Times New Roman" w:cstheme="minorHAnsi"/>
          <w:color w:val="000000"/>
          <w:lang w:val="fr-BE"/>
        </w:rPr>
        <w:t>reportés vers le Bénéficiaire)</w:t>
      </w:r>
    </w:p>
    <w:p w14:paraId="3256CF37" w14:textId="33018929" w:rsidR="00BE4FC8" w:rsidRPr="00281C78" w:rsidRDefault="00BE4FC8" w:rsidP="00BE4FC8">
      <w:pPr>
        <w:ind w:left="360"/>
        <w:rPr>
          <w:rFonts w:eastAsia="Times New Roman" w:cstheme="minorHAnsi"/>
          <w:color w:val="000000"/>
          <w:lang w:val="fr-BE"/>
        </w:rPr>
      </w:pPr>
      <w:r w:rsidRPr="00281C78">
        <w:rPr>
          <w:rFonts w:eastAsia="Times New Roman" w:cstheme="minorHAnsi"/>
          <w:color w:val="000000"/>
          <w:lang w:val="fr-BE"/>
        </w:rPr>
        <w:t xml:space="preserve">Il est nécessaire de connecter l’équipement </w:t>
      </w:r>
      <w:proofErr w:type="spellStart"/>
      <w:r w:rsidRPr="00281C78">
        <w:rPr>
          <w:rFonts w:eastAsia="Times New Roman" w:cstheme="minorHAnsi"/>
          <w:color w:val="000000"/>
          <w:lang w:val="fr-BE"/>
        </w:rPr>
        <w:t>colocalisé</w:t>
      </w:r>
      <w:proofErr w:type="spellEnd"/>
      <w:r w:rsidRPr="00281C78">
        <w:rPr>
          <w:rFonts w:eastAsia="Times New Roman" w:cstheme="minorHAnsi"/>
          <w:color w:val="000000"/>
          <w:lang w:val="fr-BE"/>
        </w:rPr>
        <w:t xml:space="preserve"> du </w:t>
      </w:r>
      <w:proofErr w:type="spellStart"/>
      <w:r w:rsidRPr="00281C78">
        <w:rPr>
          <w:rFonts w:eastAsia="Times New Roman" w:cstheme="minorHAnsi"/>
          <w:color w:val="000000"/>
          <w:lang w:val="fr-BE"/>
        </w:rPr>
        <w:t>Bénéficaire</w:t>
      </w:r>
      <w:proofErr w:type="spellEnd"/>
      <w:r w:rsidRPr="00281C78">
        <w:rPr>
          <w:rFonts w:eastAsia="Times New Roman" w:cstheme="minorHAnsi"/>
          <w:color w:val="000000"/>
          <w:lang w:val="fr-BE"/>
        </w:rPr>
        <w:t xml:space="preserve"> vers la salle où est hébergé le point d’intercon</w:t>
      </w:r>
      <w:r w:rsidR="00C10D29">
        <w:rPr>
          <w:rFonts w:eastAsia="Times New Roman" w:cstheme="minorHAnsi"/>
          <w:color w:val="000000"/>
          <w:lang w:val="fr-BE"/>
        </w:rPr>
        <w:t>n</w:t>
      </w:r>
      <w:r w:rsidRPr="00281C78">
        <w:rPr>
          <w:rFonts w:eastAsia="Times New Roman" w:cstheme="minorHAnsi"/>
          <w:color w:val="000000"/>
          <w:lang w:val="fr-BE"/>
        </w:rPr>
        <w:t xml:space="preserve">exion. Les </w:t>
      </w:r>
      <w:r w:rsidR="00D87D7F">
        <w:rPr>
          <w:rFonts w:eastAsia="Times New Roman" w:cstheme="minorHAnsi"/>
          <w:color w:val="000000"/>
          <w:lang w:val="fr-BE"/>
        </w:rPr>
        <w:t>coût</w:t>
      </w:r>
      <w:r w:rsidRPr="00281C78">
        <w:rPr>
          <w:rFonts w:eastAsia="Times New Roman" w:cstheme="minorHAnsi"/>
          <w:color w:val="000000"/>
          <w:lang w:val="fr-BE"/>
        </w:rPr>
        <w:t xml:space="preserve">s seront calculés sur base d’un métré suite à un site </w:t>
      </w:r>
      <w:proofErr w:type="spellStart"/>
      <w:r w:rsidRPr="00281C78">
        <w:rPr>
          <w:rFonts w:eastAsia="Times New Roman" w:cstheme="minorHAnsi"/>
          <w:color w:val="000000"/>
          <w:lang w:val="fr-BE"/>
        </w:rPr>
        <w:t>survey</w:t>
      </w:r>
      <w:proofErr w:type="spellEnd"/>
      <w:r w:rsidRPr="00281C78">
        <w:rPr>
          <w:rFonts w:eastAsia="Times New Roman" w:cstheme="minorHAnsi"/>
          <w:color w:val="000000"/>
          <w:lang w:val="fr-BE"/>
        </w:rPr>
        <w:t xml:space="preserve"> réalisé en commun avec le Bénéficiaire (Le placement dans le bâtiment sera réalisé par </w:t>
      </w:r>
      <w:r w:rsidR="00D61470">
        <w:rPr>
          <w:rFonts w:eastAsia="Times New Roman" w:cstheme="minorHAnsi"/>
          <w:color w:val="000000"/>
          <w:lang w:val="fr-BE"/>
        </w:rPr>
        <w:t>VOO</w:t>
      </w:r>
      <w:r w:rsidRPr="00281C78">
        <w:rPr>
          <w:rFonts w:eastAsia="Times New Roman" w:cstheme="minorHAnsi"/>
          <w:color w:val="000000"/>
          <w:lang w:val="fr-BE"/>
        </w:rPr>
        <w:t xml:space="preserve"> et les co</w:t>
      </w:r>
      <w:r w:rsidR="00D87D7F">
        <w:rPr>
          <w:rFonts w:eastAsia="Times New Roman" w:cstheme="minorHAnsi"/>
          <w:color w:val="000000"/>
          <w:lang w:val="fr-BE"/>
        </w:rPr>
        <w:t>û</w:t>
      </w:r>
      <w:r w:rsidRPr="00281C78">
        <w:rPr>
          <w:rFonts w:eastAsia="Times New Roman" w:cstheme="minorHAnsi"/>
          <w:color w:val="000000"/>
          <w:lang w:val="fr-BE"/>
        </w:rPr>
        <w:t>ts reportés vers le Bénéficiaire)</w:t>
      </w:r>
    </w:p>
    <w:p w14:paraId="47582CC6" w14:textId="77777777" w:rsidR="00BE4FC8" w:rsidRPr="00E5480A" w:rsidRDefault="00BE4FC8" w:rsidP="00BE4FC8">
      <w:pPr>
        <w:ind w:left="360"/>
        <w:rPr>
          <w:rFonts w:eastAsia="Times New Roman" w:cstheme="minorHAnsi"/>
          <w:color w:val="000000"/>
          <w:u w:val="single"/>
          <w:lang w:val="fr-BE"/>
        </w:rPr>
      </w:pPr>
    </w:p>
    <w:p w14:paraId="1CBA7FD3" w14:textId="77777777" w:rsidR="00BE4FC8" w:rsidRDefault="00BE4FC8" w:rsidP="00BE4FC8">
      <w:pPr>
        <w:pStyle w:val="Paragraphedeliste"/>
        <w:numPr>
          <w:ilvl w:val="2"/>
          <w:numId w:val="1"/>
        </w:numPr>
        <w:rPr>
          <w:rFonts w:eastAsia="Times New Roman" w:cstheme="minorHAnsi"/>
          <w:color w:val="000000"/>
          <w:u w:val="single"/>
          <w:lang w:val="fr-BE"/>
        </w:rPr>
      </w:pPr>
      <w:r>
        <w:rPr>
          <w:rFonts w:eastAsia="Times New Roman" w:cstheme="minorHAnsi"/>
          <w:color w:val="000000"/>
          <w:u w:val="single"/>
          <w:lang w:val="fr-BE"/>
        </w:rPr>
        <w:t>Prix du Rack (valable uniquement pour cette offre)</w:t>
      </w:r>
    </w:p>
    <w:p w14:paraId="39C6779A" w14:textId="24B5DC28" w:rsidR="00BE4FC8" w:rsidRDefault="00FA539D" w:rsidP="008D4D6E">
      <w:pPr>
        <w:ind w:left="1080"/>
        <w:rPr>
          <w:lang w:val="fr-BE"/>
        </w:rPr>
      </w:pPr>
      <w:r>
        <w:rPr>
          <w:lang w:val="fr-BE"/>
        </w:rPr>
        <w:t>Un</w:t>
      </w:r>
      <w:r w:rsidR="00BE4FC8">
        <w:rPr>
          <w:lang w:val="fr-BE"/>
        </w:rPr>
        <w:t xml:space="preserve"> rack peut</w:t>
      </w:r>
      <w:r>
        <w:rPr>
          <w:lang w:val="fr-BE"/>
        </w:rPr>
        <w:t xml:space="preserve"> </w:t>
      </w:r>
      <w:r w:rsidR="00BE4FC8">
        <w:rPr>
          <w:lang w:val="fr-BE"/>
        </w:rPr>
        <w:t xml:space="preserve">être </w:t>
      </w:r>
      <w:r>
        <w:rPr>
          <w:lang w:val="fr-BE"/>
        </w:rPr>
        <w:t xml:space="preserve">imposé par </w:t>
      </w:r>
      <w:r w:rsidR="00D61470">
        <w:rPr>
          <w:lang w:val="fr-BE"/>
        </w:rPr>
        <w:t>VOO</w:t>
      </w:r>
      <w:r>
        <w:rPr>
          <w:lang w:val="fr-BE"/>
        </w:rPr>
        <w:t xml:space="preserve"> dans le cas où la pièce est déjà fournie en rack, dans ce cas, s</w:t>
      </w:r>
      <w:r w:rsidR="00BE4FC8" w:rsidRPr="00D574E2">
        <w:rPr>
          <w:lang w:val="fr-BE"/>
        </w:rPr>
        <w:t>on co</w:t>
      </w:r>
      <w:r w:rsidR="00FC1E9B">
        <w:rPr>
          <w:lang w:val="fr-BE"/>
        </w:rPr>
        <w:t>û</w:t>
      </w:r>
      <w:r>
        <w:rPr>
          <w:lang w:val="fr-BE"/>
        </w:rPr>
        <w:t>t sera facturé au bénéficiaire.</w:t>
      </w:r>
    </w:p>
    <w:p w14:paraId="5CEC424E" w14:textId="77777777" w:rsidR="00D574E2" w:rsidRPr="00D574E2" w:rsidRDefault="00D574E2" w:rsidP="00BE4FC8">
      <w:pPr>
        <w:rPr>
          <w:rFonts w:eastAsia="Times New Roman" w:cstheme="minorHAnsi"/>
          <w:u w:val="single"/>
          <w:lang w:val="fr-BE"/>
        </w:rPr>
      </w:pPr>
    </w:p>
    <w:p w14:paraId="0DE72065" w14:textId="77777777" w:rsidR="00BE4FC8" w:rsidRPr="00E979FA" w:rsidRDefault="00BE4FC8" w:rsidP="00BE4FC8">
      <w:pPr>
        <w:pStyle w:val="Paragraphedeliste"/>
        <w:numPr>
          <w:ilvl w:val="2"/>
          <w:numId w:val="1"/>
        </w:numPr>
        <w:rPr>
          <w:rFonts w:eastAsia="Times New Roman" w:cstheme="minorHAnsi"/>
          <w:color w:val="000000"/>
          <w:u w:val="single"/>
          <w:lang w:val="fr-BE"/>
        </w:rPr>
      </w:pPr>
      <w:r w:rsidRPr="00E979FA">
        <w:rPr>
          <w:rFonts w:eastAsia="Times New Roman" w:cstheme="minorHAnsi"/>
          <w:color w:val="000000"/>
          <w:u w:val="single"/>
          <w:lang w:val="fr-BE"/>
        </w:rPr>
        <w:t>Nouvelle commande ou extension en mètres carrés</w:t>
      </w:r>
    </w:p>
    <w:p w14:paraId="76D2872C" w14:textId="77777777" w:rsidR="00BE4FC8" w:rsidRPr="00E979FA" w:rsidRDefault="00BE4FC8" w:rsidP="00BE4FC8">
      <w:pPr>
        <w:pStyle w:val="Paragraphedeliste"/>
        <w:ind w:left="1080"/>
        <w:rPr>
          <w:rFonts w:eastAsia="Times New Roman" w:cstheme="minorHAnsi"/>
          <w:b/>
          <w:color w:val="000000"/>
          <w:lang w:val="fr-BE"/>
        </w:rPr>
      </w:pPr>
    </w:p>
    <w:p w14:paraId="0598A3F1" w14:textId="77777777" w:rsidR="00BE4FC8" w:rsidRPr="00E979FA" w:rsidRDefault="00BE4FC8" w:rsidP="00BE4FC8">
      <w:pPr>
        <w:pStyle w:val="Paragraphedeliste"/>
        <w:ind w:left="1080"/>
        <w:rPr>
          <w:rFonts w:cstheme="minorHAnsi"/>
          <w:color w:val="222222"/>
          <w:lang w:val="fr-BE"/>
        </w:rPr>
      </w:pPr>
      <w:r w:rsidRPr="00E979FA">
        <w:rPr>
          <w:rFonts w:cstheme="minorHAnsi"/>
          <w:color w:val="222222"/>
          <w:lang w:val="fr-BE"/>
        </w:rPr>
        <w:t>Lors de la commande d'une nouvelle colocation ou extension en mètres carrés, les frais suivants seront dus :</w:t>
      </w:r>
    </w:p>
    <w:p w14:paraId="4BD5F8E4" w14:textId="77777777" w:rsidR="00BE4FC8" w:rsidRPr="00E979FA" w:rsidRDefault="00BE4FC8" w:rsidP="00BE4FC8">
      <w:pPr>
        <w:pStyle w:val="Paragraphedeliste"/>
        <w:ind w:left="1080"/>
        <w:rPr>
          <w:rFonts w:cstheme="minorHAnsi"/>
          <w:color w:val="222222"/>
          <w:lang w:val="fr-BE"/>
        </w:rPr>
      </w:pPr>
    </w:p>
    <w:p w14:paraId="6ABA2056" w14:textId="77777777" w:rsidR="00BE4FC8" w:rsidRPr="00E979FA" w:rsidRDefault="00BE4FC8" w:rsidP="00BE4FC8">
      <w:pPr>
        <w:pStyle w:val="Paragraphedeliste"/>
        <w:numPr>
          <w:ilvl w:val="0"/>
          <w:numId w:val="10"/>
        </w:numPr>
        <w:rPr>
          <w:rFonts w:cstheme="minorHAnsi"/>
          <w:color w:val="222222"/>
          <w:lang w:val="fr-BE"/>
        </w:rPr>
      </w:pPr>
      <w:r w:rsidRPr="00E979FA">
        <w:rPr>
          <w:rFonts w:cstheme="minorHAnsi"/>
          <w:color w:val="222222"/>
          <w:lang w:val="fr-BE"/>
        </w:rPr>
        <w:t>Puissance </w:t>
      </w:r>
    </w:p>
    <w:tbl>
      <w:tblPr>
        <w:tblStyle w:val="TableNormal1"/>
        <w:tblW w:w="0" w:type="auto"/>
        <w:tblInd w:w="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842"/>
      </w:tblGrid>
      <w:tr w:rsidR="00BE4FC8" w:rsidRPr="00E979FA" w14:paraId="18C1BCE1" w14:textId="77777777" w:rsidTr="00E5480A">
        <w:trPr>
          <w:trHeight w:val="431"/>
        </w:trPr>
        <w:tc>
          <w:tcPr>
            <w:tcW w:w="2840" w:type="dxa"/>
          </w:tcPr>
          <w:p w14:paraId="01777776" w14:textId="77777777" w:rsidR="00BE4FC8" w:rsidRPr="00E979FA" w:rsidRDefault="00BE4FC8" w:rsidP="00E5480A">
            <w:pPr>
              <w:pStyle w:val="TableParagraph"/>
              <w:spacing w:before="20"/>
              <w:ind w:left="121" w:right="301"/>
              <w:rPr>
                <w:rFonts w:asciiTheme="minorHAnsi" w:hAnsiTheme="minorHAnsi" w:cstheme="minorHAnsi"/>
                <w:lang w:val="fr-BE"/>
              </w:rPr>
            </w:pPr>
            <w:proofErr w:type="spellStart"/>
            <w:r w:rsidRPr="00E979FA">
              <w:rPr>
                <w:rFonts w:asciiTheme="minorHAnsi" w:hAnsiTheme="minorHAnsi" w:cstheme="minorHAnsi"/>
                <w:w w:val="105"/>
                <w:lang w:val="fr-BE"/>
              </w:rPr>
              <w:lastRenderedPageBreak/>
              <w:t>Upfron</w:t>
            </w:r>
            <w:r>
              <w:rPr>
                <w:rFonts w:asciiTheme="minorHAnsi" w:hAnsiTheme="minorHAnsi" w:cstheme="minorHAnsi"/>
                <w:w w:val="105"/>
                <w:lang w:val="fr-BE"/>
              </w:rPr>
              <w:t>t</w:t>
            </w:r>
            <w:proofErr w:type="spellEnd"/>
          </w:p>
        </w:tc>
        <w:tc>
          <w:tcPr>
            <w:tcW w:w="2842" w:type="dxa"/>
          </w:tcPr>
          <w:p w14:paraId="5F2E92C7" w14:textId="77777777" w:rsidR="00BE4FC8" w:rsidRPr="00E979FA" w:rsidRDefault="00BE4FC8" w:rsidP="00E5480A">
            <w:pPr>
              <w:pStyle w:val="TableParagraph"/>
              <w:spacing w:before="20"/>
              <w:ind w:right="871"/>
              <w:rPr>
                <w:rFonts w:asciiTheme="minorHAnsi" w:hAnsiTheme="minorHAnsi" w:cstheme="minorHAnsi"/>
                <w:lang w:val="fr-BE"/>
              </w:rPr>
            </w:pPr>
            <w:r w:rsidRPr="00E979FA">
              <w:rPr>
                <w:rFonts w:asciiTheme="minorHAnsi" w:hAnsiTheme="minorHAnsi" w:cstheme="minorHAnsi"/>
                <w:w w:val="110"/>
                <w:lang w:val="fr-BE"/>
              </w:rPr>
              <w:t>EUR</w:t>
            </w:r>
          </w:p>
        </w:tc>
      </w:tr>
      <w:tr w:rsidR="00BE4FC8" w:rsidRPr="00D574E2" w14:paraId="6F2FD5C8" w14:textId="77777777" w:rsidTr="00E5480A">
        <w:trPr>
          <w:trHeight w:val="431"/>
        </w:trPr>
        <w:tc>
          <w:tcPr>
            <w:tcW w:w="2840" w:type="dxa"/>
          </w:tcPr>
          <w:p w14:paraId="5B77C7D9" w14:textId="77777777" w:rsidR="00BE4FC8" w:rsidRPr="00D574E2" w:rsidRDefault="00BE4FC8" w:rsidP="00E5480A">
            <w:pPr>
              <w:pStyle w:val="TableParagraph"/>
              <w:ind w:left="108"/>
              <w:jc w:val="left"/>
              <w:rPr>
                <w:rFonts w:asciiTheme="minorHAnsi" w:hAnsiTheme="minorHAnsi" w:cstheme="minorHAnsi"/>
                <w:lang w:val="fr-BE"/>
              </w:rPr>
            </w:pPr>
            <w:r w:rsidRPr="00D574E2">
              <w:rPr>
                <w:rFonts w:asciiTheme="minorHAnsi" w:hAnsiTheme="minorHAnsi" w:cstheme="minorHAnsi"/>
                <w:w w:val="105"/>
                <w:lang w:val="fr-BE"/>
              </w:rPr>
              <w:t>230 V (AC) par ampère</w:t>
            </w:r>
          </w:p>
        </w:tc>
        <w:tc>
          <w:tcPr>
            <w:tcW w:w="2842" w:type="dxa"/>
          </w:tcPr>
          <w:p w14:paraId="1D3AADF2" w14:textId="77777777" w:rsidR="00BE4FC8" w:rsidRPr="00D574E2" w:rsidRDefault="00BE4FC8" w:rsidP="00E5480A">
            <w:pPr>
              <w:pStyle w:val="TableParagraph"/>
              <w:ind w:right="871"/>
              <w:rPr>
                <w:rFonts w:asciiTheme="minorHAnsi" w:hAnsiTheme="minorHAnsi" w:cstheme="minorHAnsi"/>
                <w:lang w:val="fr-BE"/>
              </w:rPr>
            </w:pPr>
            <w:r w:rsidRPr="00D574E2">
              <w:rPr>
                <w:rFonts w:asciiTheme="minorHAnsi" w:hAnsiTheme="minorHAnsi" w:cstheme="minorHAnsi"/>
                <w:w w:val="110"/>
                <w:lang w:val="fr-BE"/>
              </w:rPr>
              <w:t>249,34</w:t>
            </w:r>
          </w:p>
        </w:tc>
      </w:tr>
    </w:tbl>
    <w:p w14:paraId="192954B1" w14:textId="77777777" w:rsidR="00BE4FC8" w:rsidRPr="00D574E2" w:rsidRDefault="00BE4FC8" w:rsidP="00BE4FC8">
      <w:pPr>
        <w:pStyle w:val="Paragraphedeliste"/>
        <w:ind w:left="1080"/>
        <w:rPr>
          <w:rFonts w:cstheme="minorHAnsi"/>
          <w:color w:val="222222"/>
          <w:lang w:val="fr-BE"/>
        </w:rPr>
      </w:pPr>
    </w:p>
    <w:p w14:paraId="61A2C7AA" w14:textId="77777777" w:rsidR="00BE4FC8" w:rsidRPr="00D574E2" w:rsidRDefault="00BE4FC8" w:rsidP="00BE4FC8">
      <w:pPr>
        <w:pStyle w:val="Paragraphedeliste"/>
        <w:numPr>
          <w:ilvl w:val="0"/>
          <w:numId w:val="10"/>
        </w:numPr>
        <w:rPr>
          <w:rFonts w:cstheme="minorHAnsi"/>
          <w:color w:val="222222"/>
          <w:lang w:val="fr-BE"/>
        </w:rPr>
      </w:pPr>
      <w:r w:rsidRPr="00D574E2">
        <w:rPr>
          <w:rFonts w:cstheme="minorHAnsi"/>
          <w:color w:val="222222"/>
          <w:lang w:val="fr-BE"/>
        </w:rPr>
        <w:t>HVAC </w:t>
      </w:r>
    </w:p>
    <w:tbl>
      <w:tblPr>
        <w:tblStyle w:val="TableNormal1"/>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32"/>
        <w:gridCol w:w="2842"/>
      </w:tblGrid>
      <w:tr w:rsidR="00BE4FC8" w:rsidRPr="00D574E2" w14:paraId="54FCC340" w14:textId="77777777" w:rsidTr="00E5480A">
        <w:trPr>
          <w:trHeight w:val="429"/>
        </w:trPr>
        <w:tc>
          <w:tcPr>
            <w:tcW w:w="2732" w:type="dxa"/>
          </w:tcPr>
          <w:p w14:paraId="3CD2BBE5" w14:textId="77777777" w:rsidR="00BE4FC8" w:rsidRPr="00D574E2" w:rsidRDefault="00BE4FC8" w:rsidP="00E5480A">
            <w:pPr>
              <w:pStyle w:val="TableParagraph"/>
              <w:ind w:left="155" w:right="443"/>
              <w:rPr>
                <w:rFonts w:asciiTheme="minorHAnsi" w:hAnsiTheme="minorHAnsi" w:cstheme="minorHAnsi"/>
                <w:lang w:val="fr-BE"/>
              </w:rPr>
            </w:pPr>
            <w:proofErr w:type="spellStart"/>
            <w:r w:rsidRPr="00D574E2">
              <w:rPr>
                <w:rFonts w:asciiTheme="minorHAnsi" w:hAnsiTheme="minorHAnsi" w:cstheme="minorHAnsi"/>
                <w:w w:val="105"/>
                <w:lang w:val="fr-BE"/>
              </w:rPr>
              <w:t>Upfront</w:t>
            </w:r>
            <w:proofErr w:type="spellEnd"/>
          </w:p>
        </w:tc>
        <w:tc>
          <w:tcPr>
            <w:tcW w:w="2842" w:type="dxa"/>
          </w:tcPr>
          <w:p w14:paraId="7B7F12AF" w14:textId="77777777" w:rsidR="00BE4FC8" w:rsidRPr="00D574E2" w:rsidRDefault="00BE4FC8" w:rsidP="00E5480A">
            <w:pPr>
              <w:pStyle w:val="TableParagraph"/>
              <w:ind w:right="872"/>
              <w:rPr>
                <w:rFonts w:asciiTheme="minorHAnsi" w:hAnsiTheme="minorHAnsi" w:cstheme="minorHAnsi"/>
                <w:lang w:val="fr-BE"/>
              </w:rPr>
            </w:pPr>
            <w:r w:rsidRPr="00D574E2">
              <w:rPr>
                <w:rFonts w:asciiTheme="minorHAnsi" w:hAnsiTheme="minorHAnsi" w:cstheme="minorHAnsi"/>
                <w:w w:val="110"/>
                <w:lang w:val="fr-BE"/>
              </w:rPr>
              <w:t>EUR</w:t>
            </w:r>
          </w:p>
        </w:tc>
      </w:tr>
      <w:tr w:rsidR="00BE4FC8" w:rsidRPr="00E979FA" w14:paraId="11FF5538" w14:textId="77777777" w:rsidTr="00E5480A">
        <w:trPr>
          <w:trHeight w:val="436"/>
        </w:trPr>
        <w:tc>
          <w:tcPr>
            <w:tcW w:w="2732" w:type="dxa"/>
          </w:tcPr>
          <w:p w14:paraId="7FDB5BDE" w14:textId="77777777" w:rsidR="00BE4FC8" w:rsidRPr="00D574E2" w:rsidRDefault="00BE4FC8" w:rsidP="00E5480A">
            <w:pPr>
              <w:pStyle w:val="TableParagraph"/>
              <w:spacing w:before="23"/>
              <w:ind w:left="107"/>
              <w:jc w:val="left"/>
              <w:rPr>
                <w:rFonts w:asciiTheme="minorHAnsi" w:hAnsiTheme="minorHAnsi" w:cstheme="minorHAnsi"/>
                <w:lang w:val="fr-BE"/>
              </w:rPr>
            </w:pPr>
            <w:r w:rsidRPr="00D574E2">
              <w:rPr>
                <w:rFonts w:asciiTheme="minorHAnsi" w:hAnsiTheme="minorHAnsi" w:cstheme="minorHAnsi"/>
                <w:w w:val="105"/>
                <w:lang w:val="fr-BE"/>
              </w:rPr>
              <w:t>230 V (AC) par ampère</w:t>
            </w:r>
          </w:p>
        </w:tc>
        <w:tc>
          <w:tcPr>
            <w:tcW w:w="2842" w:type="dxa"/>
          </w:tcPr>
          <w:p w14:paraId="1D6049E3" w14:textId="77777777" w:rsidR="00BE4FC8" w:rsidRPr="00E979FA" w:rsidRDefault="00BE4FC8" w:rsidP="00E5480A">
            <w:pPr>
              <w:pStyle w:val="TableParagraph"/>
              <w:spacing w:before="23"/>
              <w:ind w:right="873"/>
              <w:rPr>
                <w:rFonts w:asciiTheme="minorHAnsi" w:hAnsiTheme="minorHAnsi" w:cstheme="minorHAnsi"/>
                <w:lang w:val="fr-BE"/>
              </w:rPr>
            </w:pPr>
            <w:r w:rsidRPr="00D574E2">
              <w:rPr>
                <w:rFonts w:asciiTheme="minorHAnsi" w:hAnsiTheme="minorHAnsi" w:cstheme="minorHAnsi"/>
                <w:w w:val="105"/>
                <w:lang w:val="fr-BE"/>
              </w:rPr>
              <w:t>662,61</w:t>
            </w:r>
          </w:p>
        </w:tc>
      </w:tr>
    </w:tbl>
    <w:p w14:paraId="0B751153" w14:textId="77777777" w:rsidR="00BE4FC8" w:rsidRPr="00E979FA" w:rsidRDefault="00BE4FC8" w:rsidP="00BE4FC8">
      <w:pPr>
        <w:pStyle w:val="Paragraphedeliste"/>
        <w:ind w:left="1080"/>
        <w:rPr>
          <w:rFonts w:cstheme="minorHAnsi"/>
          <w:color w:val="222222"/>
          <w:lang w:val="fr-BE"/>
        </w:rPr>
      </w:pPr>
    </w:p>
    <w:p w14:paraId="252657AC" w14:textId="77777777" w:rsidR="00BE4FC8" w:rsidRPr="00E979FA" w:rsidRDefault="00BE4FC8" w:rsidP="00BE4FC8">
      <w:pPr>
        <w:pStyle w:val="Paragraphedeliste"/>
        <w:numPr>
          <w:ilvl w:val="0"/>
          <w:numId w:val="10"/>
        </w:numPr>
        <w:rPr>
          <w:rFonts w:cstheme="minorHAnsi"/>
          <w:color w:val="222222"/>
          <w:lang w:val="fr-BE"/>
        </w:rPr>
      </w:pPr>
      <w:r w:rsidRPr="00E979FA">
        <w:rPr>
          <w:rFonts w:cstheme="minorHAnsi"/>
          <w:color w:val="222222"/>
          <w:lang w:val="fr-BE"/>
        </w:rPr>
        <w:t>Frais administratifs par commande </w:t>
      </w:r>
    </w:p>
    <w:p w14:paraId="4AFE3601" w14:textId="46FC7CB5" w:rsidR="00BE4FC8" w:rsidRPr="00DC4010" w:rsidRDefault="00DC4010" w:rsidP="00DC4010">
      <w:pPr>
        <w:ind w:left="1080" w:firstLine="360"/>
        <w:rPr>
          <w:rFonts w:eastAsia="Times New Roman" w:cstheme="minorHAnsi"/>
          <w:color w:val="000000"/>
          <w:lang w:val="fr-BE"/>
        </w:rPr>
      </w:pPr>
      <w:r w:rsidRPr="00DC4010">
        <w:rPr>
          <w:rFonts w:eastAsia="Times New Roman" w:cstheme="minorHAnsi"/>
          <w:color w:val="000000"/>
          <w:lang w:val="fr-BE"/>
        </w:rPr>
        <w:t>Frais administratifs : 3.083,67 €</w:t>
      </w:r>
    </w:p>
    <w:p w14:paraId="29056743" w14:textId="0FEA29AF" w:rsidR="00BE4FC8" w:rsidRPr="00DC4010" w:rsidRDefault="00DC4010" w:rsidP="00DC4010">
      <w:pPr>
        <w:pStyle w:val="Paragraphedeliste"/>
        <w:ind w:left="1440"/>
        <w:jc w:val="both"/>
        <w:rPr>
          <w:rFonts w:eastAsia="Times New Roman" w:cstheme="minorHAnsi"/>
          <w:b/>
          <w:lang w:val="fr-BE"/>
        </w:rPr>
      </w:pPr>
      <w:r>
        <w:rPr>
          <w:rFonts w:cstheme="minorHAnsi"/>
          <w:color w:val="222222"/>
          <w:lang w:val="fr-BE"/>
        </w:rPr>
        <w:t>C</w:t>
      </w:r>
      <w:r w:rsidR="00BE4FC8" w:rsidRPr="008D4D6E">
        <w:rPr>
          <w:rFonts w:cstheme="minorHAnsi"/>
          <w:lang w:val="fr-BE"/>
        </w:rPr>
        <w:t xml:space="preserve">ompensation pour les coûts de développement des produits et processus, </w:t>
      </w:r>
      <w:r w:rsidR="000044E7">
        <w:rPr>
          <w:rFonts w:cstheme="minorHAnsi"/>
          <w:lang w:val="fr-BE"/>
        </w:rPr>
        <w:t>pour la gestion du projet et pour les frais</w:t>
      </w:r>
      <w:r w:rsidR="00BE4FC8" w:rsidRPr="008D4D6E">
        <w:rPr>
          <w:rFonts w:cstheme="minorHAnsi"/>
          <w:lang w:val="fr-BE"/>
        </w:rPr>
        <w:t xml:space="preserve"> administratifs relatifs à la réalisation des aspects relevant de la colocation. </w:t>
      </w:r>
    </w:p>
    <w:p w14:paraId="6EB89B40" w14:textId="77777777" w:rsidR="00D574E2" w:rsidRPr="00E979FA" w:rsidRDefault="00D574E2" w:rsidP="00BE4FC8">
      <w:pPr>
        <w:pStyle w:val="Paragraphedeliste"/>
        <w:ind w:left="1080"/>
        <w:rPr>
          <w:rFonts w:eastAsia="Times New Roman" w:cstheme="minorHAnsi"/>
          <w:b/>
          <w:color w:val="000000"/>
          <w:lang w:val="fr-BE"/>
        </w:rPr>
      </w:pPr>
    </w:p>
    <w:p w14:paraId="4F57467D" w14:textId="77777777" w:rsidR="00BE4FC8" w:rsidRPr="00E979FA" w:rsidRDefault="00BE4FC8" w:rsidP="00BE4FC8">
      <w:pPr>
        <w:pStyle w:val="Paragraphedeliste"/>
        <w:numPr>
          <w:ilvl w:val="2"/>
          <w:numId w:val="1"/>
        </w:numPr>
        <w:rPr>
          <w:rFonts w:eastAsia="Times New Roman" w:cstheme="minorHAnsi"/>
          <w:color w:val="000000"/>
          <w:u w:val="single"/>
          <w:lang w:val="fr-BE"/>
        </w:rPr>
      </w:pPr>
      <w:r w:rsidRPr="00E979FA">
        <w:rPr>
          <w:rFonts w:eastAsia="Times New Roman" w:cstheme="minorHAnsi"/>
          <w:color w:val="000000"/>
          <w:u w:val="single"/>
          <w:lang w:val="fr-BE"/>
        </w:rPr>
        <w:t>Mise à niveau de puissance</w:t>
      </w:r>
    </w:p>
    <w:p w14:paraId="6237F862" w14:textId="77777777" w:rsidR="00BE4FC8" w:rsidRPr="00E979FA" w:rsidRDefault="00BE4FC8" w:rsidP="00BE4FC8">
      <w:pPr>
        <w:pStyle w:val="Paragraphedeliste"/>
        <w:ind w:left="1080"/>
        <w:rPr>
          <w:rFonts w:eastAsia="Times New Roman" w:cstheme="minorHAnsi"/>
          <w:b/>
          <w:color w:val="000000"/>
          <w:lang w:val="fr-BE"/>
        </w:rPr>
      </w:pPr>
    </w:p>
    <w:p w14:paraId="1840B2AD" w14:textId="77777777" w:rsidR="00BE4FC8" w:rsidRPr="00E979FA" w:rsidRDefault="00BE4FC8" w:rsidP="00BE4FC8">
      <w:pPr>
        <w:pStyle w:val="Paragraphedeliste"/>
        <w:ind w:left="1080"/>
        <w:rPr>
          <w:rFonts w:eastAsia="Times New Roman" w:cstheme="minorHAnsi"/>
          <w:color w:val="000000"/>
          <w:lang w:val="fr-BE"/>
        </w:rPr>
      </w:pPr>
      <w:r w:rsidRPr="00E979FA">
        <w:rPr>
          <w:rFonts w:eastAsia="Times New Roman" w:cstheme="minorHAnsi"/>
          <w:color w:val="000000"/>
          <w:lang w:val="fr-BE"/>
        </w:rPr>
        <w:t>Lors de la commande d’une mise à niveau de puissance seulement, les frais suivants seront dus :</w:t>
      </w:r>
    </w:p>
    <w:p w14:paraId="05135FFB" w14:textId="77777777" w:rsidR="00BE4FC8" w:rsidRPr="00E979FA" w:rsidRDefault="00BE4FC8" w:rsidP="00BE4FC8">
      <w:pPr>
        <w:pStyle w:val="Paragraphedeliste"/>
        <w:ind w:left="1080"/>
        <w:rPr>
          <w:rFonts w:eastAsia="Times New Roman" w:cstheme="minorHAnsi"/>
          <w:color w:val="000000"/>
          <w:lang w:val="fr-BE"/>
        </w:rPr>
      </w:pPr>
    </w:p>
    <w:p w14:paraId="2043B972" w14:textId="183FF724" w:rsidR="00BE4FC8" w:rsidRPr="008D4D6E" w:rsidRDefault="00BE4FC8" w:rsidP="008D4D6E">
      <w:pPr>
        <w:pStyle w:val="Paragraphedeliste"/>
        <w:numPr>
          <w:ilvl w:val="0"/>
          <w:numId w:val="10"/>
        </w:numPr>
        <w:rPr>
          <w:rFonts w:eastAsia="Times New Roman" w:cstheme="minorHAnsi"/>
          <w:color w:val="000000"/>
          <w:lang w:val="fr-BE"/>
        </w:rPr>
      </w:pPr>
      <w:r w:rsidRPr="00E979FA">
        <w:rPr>
          <w:rFonts w:eastAsia="Times New Roman" w:cstheme="minorHAnsi"/>
          <w:color w:val="000000"/>
          <w:lang w:val="fr-BE"/>
        </w:rPr>
        <w:t>Puissance </w:t>
      </w:r>
    </w:p>
    <w:p w14:paraId="612E11D2" w14:textId="77777777" w:rsidR="00BE4FC8" w:rsidRPr="00E979FA" w:rsidRDefault="00BE4FC8" w:rsidP="00BE4FC8">
      <w:pPr>
        <w:pStyle w:val="Paragraphedeliste"/>
        <w:ind w:left="1080"/>
        <w:jc w:val="both"/>
        <w:rPr>
          <w:rFonts w:eastAsia="Times New Roman" w:cstheme="minorHAnsi"/>
          <w:lang w:val="fr-BE"/>
        </w:rPr>
      </w:pPr>
      <w:r w:rsidRPr="00E979FA">
        <w:rPr>
          <w:rFonts w:eastAsia="Times New Roman" w:cstheme="minorHAnsi"/>
          <w:color w:val="000000"/>
          <w:lang w:val="fr-BE"/>
        </w:rPr>
        <w:t>Lors de l’upgrade vers une capacité supérieure, le coût</w:t>
      </w:r>
      <w:r w:rsidRPr="00E979FA">
        <w:rPr>
          <w:rFonts w:eastAsia="Times New Roman" w:cstheme="minorHAnsi"/>
          <w:color w:val="C00000"/>
          <w:lang w:val="fr-BE"/>
        </w:rPr>
        <w:t xml:space="preserve"> </w:t>
      </w:r>
      <w:r w:rsidRPr="00E979FA">
        <w:rPr>
          <w:rFonts w:eastAsia="Times New Roman" w:cstheme="minorHAnsi"/>
          <w:lang w:val="fr-BE"/>
        </w:rPr>
        <w:t>sera basé sur la différence entre la valeur de fusible et la nouvelle valeur de fusible comme demandé par le Bénéficiaire.</w:t>
      </w:r>
    </w:p>
    <w:p w14:paraId="3F6E831A" w14:textId="77777777" w:rsidR="00BE4FC8" w:rsidRPr="00E979FA" w:rsidRDefault="00BE4FC8" w:rsidP="00BE4FC8">
      <w:pPr>
        <w:pStyle w:val="Paragraphedeliste"/>
        <w:ind w:left="1080"/>
        <w:rPr>
          <w:rFonts w:eastAsia="Times New Roman" w:cstheme="minorHAnsi"/>
          <w:lang w:val="fr-BE"/>
        </w:rPr>
      </w:pPr>
    </w:p>
    <w:tbl>
      <w:tblPr>
        <w:tblStyle w:val="TableNormal1"/>
        <w:tblW w:w="0" w:type="auto"/>
        <w:tblInd w:w="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842"/>
      </w:tblGrid>
      <w:tr w:rsidR="00BE4FC8" w:rsidRPr="00E979FA" w14:paraId="69A719FD" w14:textId="77777777" w:rsidTr="00E5480A">
        <w:trPr>
          <w:trHeight w:val="429"/>
        </w:trPr>
        <w:tc>
          <w:tcPr>
            <w:tcW w:w="2840" w:type="dxa"/>
          </w:tcPr>
          <w:p w14:paraId="0DA83FCF" w14:textId="77777777" w:rsidR="00BE4FC8" w:rsidRPr="00E979FA" w:rsidRDefault="00BE4FC8" w:rsidP="00E5480A">
            <w:pPr>
              <w:pStyle w:val="TableParagraph"/>
              <w:ind w:left="1050" w:right="1041"/>
              <w:rPr>
                <w:rFonts w:asciiTheme="minorHAnsi" w:hAnsiTheme="minorHAnsi" w:cstheme="minorHAnsi"/>
                <w:sz w:val="20"/>
                <w:szCs w:val="20"/>
              </w:rPr>
            </w:pPr>
            <w:r w:rsidRPr="00E979FA">
              <w:rPr>
                <w:rFonts w:asciiTheme="minorHAnsi" w:hAnsiTheme="minorHAnsi" w:cstheme="minorHAnsi"/>
                <w:w w:val="105"/>
                <w:sz w:val="20"/>
                <w:szCs w:val="20"/>
              </w:rPr>
              <w:t>Upfront</w:t>
            </w:r>
          </w:p>
        </w:tc>
        <w:tc>
          <w:tcPr>
            <w:tcW w:w="2842" w:type="dxa"/>
          </w:tcPr>
          <w:p w14:paraId="0AA4A6FE" w14:textId="77777777" w:rsidR="00BE4FC8" w:rsidRPr="00E979FA" w:rsidRDefault="00BE4FC8" w:rsidP="00E5480A">
            <w:pPr>
              <w:pStyle w:val="TableParagraph"/>
              <w:ind w:right="871"/>
              <w:rPr>
                <w:rFonts w:asciiTheme="minorHAnsi" w:hAnsiTheme="minorHAnsi" w:cstheme="minorHAnsi"/>
                <w:sz w:val="20"/>
                <w:szCs w:val="20"/>
              </w:rPr>
            </w:pPr>
            <w:r w:rsidRPr="00E979FA">
              <w:rPr>
                <w:rFonts w:asciiTheme="minorHAnsi" w:hAnsiTheme="minorHAnsi" w:cstheme="minorHAnsi"/>
                <w:w w:val="110"/>
                <w:sz w:val="20"/>
                <w:szCs w:val="20"/>
              </w:rPr>
              <w:t>EUR</w:t>
            </w:r>
          </w:p>
        </w:tc>
      </w:tr>
      <w:tr w:rsidR="00BE4FC8" w:rsidRPr="00E979FA" w14:paraId="78590AA7" w14:textId="77777777" w:rsidTr="00E5480A">
        <w:trPr>
          <w:trHeight w:val="429"/>
        </w:trPr>
        <w:tc>
          <w:tcPr>
            <w:tcW w:w="2840" w:type="dxa"/>
          </w:tcPr>
          <w:p w14:paraId="4A9CF632" w14:textId="77777777" w:rsidR="00BE4FC8" w:rsidRPr="00E979FA" w:rsidRDefault="00BE4FC8" w:rsidP="00E5480A">
            <w:pPr>
              <w:pStyle w:val="TableParagraph"/>
              <w:ind w:left="108"/>
              <w:jc w:val="left"/>
              <w:rPr>
                <w:rFonts w:asciiTheme="minorHAnsi" w:hAnsiTheme="minorHAnsi" w:cstheme="minorHAnsi"/>
              </w:rPr>
            </w:pPr>
            <w:r w:rsidRPr="00E979FA">
              <w:rPr>
                <w:rFonts w:asciiTheme="minorHAnsi" w:hAnsiTheme="minorHAnsi" w:cstheme="minorHAnsi"/>
                <w:w w:val="105"/>
              </w:rPr>
              <w:t>230 V (AC) par ampere</w:t>
            </w:r>
          </w:p>
        </w:tc>
        <w:tc>
          <w:tcPr>
            <w:tcW w:w="2842" w:type="dxa"/>
          </w:tcPr>
          <w:p w14:paraId="029DBC9A" w14:textId="77777777" w:rsidR="00BE4FC8" w:rsidRPr="00E979FA" w:rsidRDefault="00BE4FC8" w:rsidP="00E5480A">
            <w:pPr>
              <w:pStyle w:val="TableParagraph"/>
              <w:ind w:right="871"/>
              <w:rPr>
                <w:rFonts w:asciiTheme="minorHAnsi" w:hAnsiTheme="minorHAnsi" w:cstheme="minorHAnsi"/>
              </w:rPr>
            </w:pPr>
            <w:r w:rsidRPr="00D574E2">
              <w:rPr>
                <w:rFonts w:asciiTheme="minorHAnsi" w:hAnsiTheme="minorHAnsi" w:cstheme="minorHAnsi"/>
                <w:w w:val="110"/>
              </w:rPr>
              <w:t>249,34</w:t>
            </w:r>
          </w:p>
        </w:tc>
      </w:tr>
    </w:tbl>
    <w:p w14:paraId="2993F3AF" w14:textId="77777777" w:rsidR="00D574E2" w:rsidRDefault="00D574E2" w:rsidP="00BE4FC8">
      <w:pPr>
        <w:rPr>
          <w:rFonts w:eastAsia="Times New Roman" w:cstheme="minorHAnsi"/>
          <w:lang w:val="fr-BE"/>
        </w:rPr>
      </w:pPr>
    </w:p>
    <w:p w14:paraId="4A813A77" w14:textId="64C77D02" w:rsidR="00BE4FC8" w:rsidRPr="008D4D6E" w:rsidRDefault="00BE4FC8" w:rsidP="008D4D6E">
      <w:pPr>
        <w:pStyle w:val="Paragraphedeliste"/>
        <w:numPr>
          <w:ilvl w:val="0"/>
          <w:numId w:val="11"/>
        </w:numPr>
        <w:rPr>
          <w:rFonts w:eastAsia="Times New Roman" w:cstheme="minorHAnsi"/>
          <w:lang w:val="fr-BE"/>
        </w:rPr>
      </w:pPr>
      <w:r w:rsidRPr="008D4D6E">
        <w:rPr>
          <w:rFonts w:eastAsia="Times New Roman" w:cstheme="minorHAnsi"/>
          <w:lang w:val="fr-BE"/>
        </w:rPr>
        <w:t>HVAC </w:t>
      </w:r>
    </w:p>
    <w:p w14:paraId="5AACCD48" w14:textId="77777777" w:rsidR="00BE4FC8" w:rsidRPr="00E979FA" w:rsidRDefault="00BE4FC8" w:rsidP="00BE4FC8">
      <w:pPr>
        <w:pStyle w:val="Paragraphedeliste"/>
        <w:ind w:left="1080"/>
        <w:jc w:val="both"/>
        <w:rPr>
          <w:rFonts w:eastAsia="Times New Roman" w:cstheme="minorHAnsi"/>
          <w:lang w:val="fr-BE"/>
        </w:rPr>
      </w:pPr>
      <w:r w:rsidRPr="00E979FA">
        <w:rPr>
          <w:rFonts w:eastAsia="Times New Roman" w:cstheme="minorHAnsi"/>
          <w:lang w:val="fr-BE"/>
        </w:rPr>
        <w:t>Lors de l’upgrade vers une capacité supérieure, le coût pour le HVAC sera également basé sur la différence entre la valeur de fusible et la nouvelle valeur de fusible demandée par le Bénéficiaire.</w:t>
      </w:r>
    </w:p>
    <w:p w14:paraId="324C2C22" w14:textId="77777777" w:rsidR="00BE4FC8" w:rsidRPr="00E979FA" w:rsidRDefault="00BE4FC8" w:rsidP="00BE4FC8">
      <w:pPr>
        <w:pStyle w:val="Paragraphedeliste"/>
        <w:ind w:left="1080"/>
        <w:rPr>
          <w:rFonts w:eastAsia="Times New Roman" w:cstheme="minorHAnsi"/>
          <w:b/>
          <w:lang w:val="fr-BE"/>
        </w:rPr>
      </w:pPr>
    </w:p>
    <w:tbl>
      <w:tblPr>
        <w:tblStyle w:val="TableNormal1"/>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32"/>
        <w:gridCol w:w="2842"/>
      </w:tblGrid>
      <w:tr w:rsidR="00BE4FC8" w:rsidRPr="00E979FA" w14:paraId="3CB54D8A" w14:textId="77777777" w:rsidTr="00E5480A">
        <w:trPr>
          <w:trHeight w:val="431"/>
        </w:trPr>
        <w:tc>
          <w:tcPr>
            <w:tcW w:w="2732" w:type="dxa"/>
          </w:tcPr>
          <w:p w14:paraId="2F45DA30" w14:textId="77777777" w:rsidR="00BE4FC8" w:rsidRPr="00E979FA" w:rsidRDefault="00BE4FC8" w:rsidP="00E5480A">
            <w:pPr>
              <w:pStyle w:val="TableParagraph"/>
              <w:spacing w:before="20"/>
              <w:ind w:left="438" w:right="443"/>
              <w:rPr>
                <w:rFonts w:asciiTheme="minorHAnsi" w:hAnsiTheme="minorHAnsi" w:cstheme="minorHAnsi"/>
              </w:rPr>
            </w:pPr>
            <w:r w:rsidRPr="00E979FA">
              <w:rPr>
                <w:rFonts w:asciiTheme="minorHAnsi" w:hAnsiTheme="minorHAnsi" w:cstheme="minorHAnsi"/>
                <w:w w:val="105"/>
              </w:rPr>
              <w:t>Upfront</w:t>
            </w:r>
          </w:p>
        </w:tc>
        <w:tc>
          <w:tcPr>
            <w:tcW w:w="2842" w:type="dxa"/>
          </w:tcPr>
          <w:p w14:paraId="25D02201" w14:textId="77777777" w:rsidR="00BE4FC8" w:rsidRPr="00E979FA" w:rsidRDefault="00BE4FC8" w:rsidP="00E5480A">
            <w:pPr>
              <w:pStyle w:val="TableParagraph"/>
              <w:spacing w:before="20"/>
              <w:ind w:right="872"/>
              <w:rPr>
                <w:rFonts w:asciiTheme="minorHAnsi" w:hAnsiTheme="minorHAnsi" w:cstheme="minorHAnsi"/>
              </w:rPr>
            </w:pPr>
            <w:r w:rsidRPr="00E979FA">
              <w:rPr>
                <w:rFonts w:asciiTheme="minorHAnsi" w:hAnsiTheme="minorHAnsi" w:cstheme="minorHAnsi"/>
                <w:w w:val="110"/>
              </w:rPr>
              <w:t>EUR</w:t>
            </w:r>
          </w:p>
        </w:tc>
      </w:tr>
      <w:tr w:rsidR="00BE4FC8" w:rsidRPr="00E979FA" w14:paraId="4FABAC59" w14:textId="77777777" w:rsidTr="00D574E2">
        <w:trPr>
          <w:trHeight w:val="436"/>
        </w:trPr>
        <w:tc>
          <w:tcPr>
            <w:tcW w:w="2732" w:type="dxa"/>
            <w:shd w:val="clear" w:color="auto" w:fill="auto"/>
          </w:tcPr>
          <w:p w14:paraId="126C846C" w14:textId="77777777" w:rsidR="00BE4FC8" w:rsidRPr="00D574E2" w:rsidRDefault="00BE4FC8" w:rsidP="00E5480A">
            <w:pPr>
              <w:pStyle w:val="TableParagraph"/>
              <w:spacing w:before="20"/>
              <w:ind w:left="107"/>
              <w:jc w:val="left"/>
              <w:rPr>
                <w:rFonts w:asciiTheme="minorHAnsi" w:hAnsiTheme="minorHAnsi" w:cstheme="minorHAnsi"/>
              </w:rPr>
            </w:pPr>
            <w:r w:rsidRPr="00D574E2">
              <w:rPr>
                <w:rFonts w:asciiTheme="minorHAnsi" w:hAnsiTheme="minorHAnsi" w:cstheme="minorHAnsi"/>
                <w:w w:val="105"/>
              </w:rPr>
              <w:t>230 V (AC) per ampere</w:t>
            </w:r>
          </w:p>
        </w:tc>
        <w:tc>
          <w:tcPr>
            <w:tcW w:w="2842" w:type="dxa"/>
            <w:shd w:val="clear" w:color="auto" w:fill="auto"/>
          </w:tcPr>
          <w:p w14:paraId="6820DC2E" w14:textId="77777777" w:rsidR="00BE4FC8" w:rsidRPr="00D574E2" w:rsidRDefault="00BE4FC8" w:rsidP="00E5480A">
            <w:pPr>
              <w:pStyle w:val="TableParagraph"/>
              <w:spacing w:before="20"/>
              <w:ind w:right="873"/>
              <w:rPr>
                <w:rFonts w:asciiTheme="minorHAnsi" w:hAnsiTheme="minorHAnsi" w:cstheme="minorHAnsi"/>
              </w:rPr>
            </w:pPr>
            <w:r w:rsidRPr="00D574E2">
              <w:rPr>
                <w:rFonts w:asciiTheme="minorHAnsi" w:hAnsiTheme="minorHAnsi" w:cstheme="minorHAnsi"/>
                <w:w w:val="105"/>
              </w:rPr>
              <w:t>662,61</w:t>
            </w:r>
          </w:p>
        </w:tc>
      </w:tr>
    </w:tbl>
    <w:p w14:paraId="07FFB1CB" w14:textId="77777777" w:rsidR="00BE4FC8" w:rsidRPr="00E979FA" w:rsidRDefault="00BE4FC8" w:rsidP="00BE4FC8">
      <w:pPr>
        <w:pStyle w:val="Paragraphedeliste"/>
        <w:ind w:left="1080"/>
        <w:rPr>
          <w:rFonts w:eastAsia="Times New Roman" w:cstheme="minorHAnsi"/>
          <w:b/>
          <w:lang w:val="fr-BE"/>
        </w:rPr>
      </w:pPr>
    </w:p>
    <w:p w14:paraId="77547BF4" w14:textId="5B4745B5" w:rsidR="00BE4FC8" w:rsidRPr="00E979FA" w:rsidRDefault="00DC4010" w:rsidP="00BE4FC8">
      <w:pPr>
        <w:pStyle w:val="Paragraphedeliste"/>
        <w:numPr>
          <w:ilvl w:val="0"/>
          <w:numId w:val="10"/>
        </w:numPr>
        <w:rPr>
          <w:rFonts w:eastAsia="Times New Roman" w:cstheme="minorHAnsi"/>
          <w:lang w:val="fr-BE"/>
        </w:rPr>
      </w:pPr>
      <w:r>
        <w:rPr>
          <w:rFonts w:eastAsia="Times New Roman" w:cstheme="minorHAnsi"/>
          <w:lang w:val="fr-BE"/>
        </w:rPr>
        <w:t>Frais</w:t>
      </w:r>
      <w:r w:rsidR="00BE4FC8" w:rsidRPr="00E979FA">
        <w:rPr>
          <w:rFonts w:eastAsia="Times New Roman" w:cstheme="minorHAnsi"/>
          <w:lang w:val="fr-BE"/>
        </w:rPr>
        <w:t xml:space="preserve"> administratifs pour la mise à niveau</w:t>
      </w:r>
    </w:p>
    <w:p w14:paraId="6937F73D" w14:textId="77777777" w:rsidR="00DC4010" w:rsidRPr="00DC4010" w:rsidRDefault="00DC4010" w:rsidP="00DC4010">
      <w:pPr>
        <w:ind w:left="1080" w:firstLine="360"/>
        <w:rPr>
          <w:rFonts w:eastAsia="Times New Roman" w:cstheme="minorHAnsi"/>
          <w:lang w:val="fr-BE"/>
        </w:rPr>
      </w:pPr>
      <w:r w:rsidRPr="00DC4010">
        <w:rPr>
          <w:rFonts w:eastAsia="Times New Roman" w:cstheme="minorHAnsi"/>
          <w:lang w:val="fr-BE"/>
        </w:rPr>
        <w:lastRenderedPageBreak/>
        <w:t>Frais administratifs pour la mise à niveau de la puissance : 1.116,89 €</w:t>
      </w:r>
    </w:p>
    <w:p w14:paraId="0B057A3B" w14:textId="0DBDE587" w:rsidR="00D574E2" w:rsidRPr="00D87D7F" w:rsidRDefault="000044E7" w:rsidP="000044E7">
      <w:pPr>
        <w:pStyle w:val="Paragraphedeliste"/>
        <w:ind w:left="1440"/>
        <w:jc w:val="both"/>
        <w:rPr>
          <w:rFonts w:eastAsia="Times New Roman" w:cstheme="minorHAnsi"/>
          <w:b/>
          <w:lang w:val="fr-BE"/>
        </w:rPr>
      </w:pPr>
      <w:r>
        <w:rPr>
          <w:rFonts w:cstheme="minorHAnsi"/>
          <w:color w:val="222222"/>
          <w:lang w:val="fr-BE"/>
        </w:rPr>
        <w:t>C</w:t>
      </w:r>
      <w:r w:rsidRPr="008D4D6E">
        <w:rPr>
          <w:rFonts w:cstheme="minorHAnsi"/>
          <w:lang w:val="fr-BE"/>
        </w:rPr>
        <w:t xml:space="preserve">ompensation pour les coûts de développement des produits et processus, </w:t>
      </w:r>
      <w:r>
        <w:rPr>
          <w:rFonts w:cstheme="minorHAnsi"/>
          <w:lang w:val="fr-BE"/>
        </w:rPr>
        <w:t>pour la gestion du projet et pour les frais</w:t>
      </w:r>
      <w:r w:rsidRPr="008D4D6E">
        <w:rPr>
          <w:rFonts w:cstheme="minorHAnsi"/>
          <w:lang w:val="fr-BE"/>
        </w:rPr>
        <w:t xml:space="preserve"> administratifs relatifs à la réalisation des aspects relevant de la colocation. </w:t>
      </w:r>
    </w:p>
    <w:p w14:paraId="189658EF" w14:textId="491B1208" w:rsidR="008D4D6E" w:rsidRDefault="008D4D6E" w:rsidP="00BE4FC8">
      <w:pPr>
        <w:pStyle w:val="Paragraphedeliste"/>
        <w:ind w:left="1080"/>
        <w:rPr>
          <w:rFonts w:eastAsia="Times New Roman" w:cstheme="minorHAnsi"/>
          <w:b/>
          <w:lang w:val="fr-BE"/>
        </w:rPr>
      </w:pPr>
    </w:p>
    <w:p w14:paraId="2E8F9A45" w14:textId="77777777" w:rsidR="000044E7" w:rsidRPr="00E979FA" w:rsidRDefault="000044E7" w:rsidP="00BE4FC8">
      <w:pPr>
        <w:pStyle w:val="Paragraphedeliste"/>
        <w:ind w:left="1080"/>
        <w:rPr>
          <w:rFonts w:eastAsia="Times New Roman" w:cstheme="minorHAnsi"/>
          <w:b/>
          <w:lang w:val="fr-BE"/>
        </w:rPr>
      </w:pPr>
    </w:p>
    <w:p w14:paraId="6C2ED6C3" w14:textId="11B5EF57" w:rsidR="00D574E2" w:rsidRDefault="00BE4FC8" w:rsidP="008D4D6E">
      <w:pPr>
        <w:pStyle w:val="Paragraphedeliste"/>
        <w:numPr>
          <w:ilvl w:val="0"/>
          <w:numId w:val="1"/>
        </w:numPr>
        <w:rPr>
          <w:rFonts w:eastAsia="Times New Roman" w:cstheme="minorHAnsi"/>
          <w:b/>
          <w:u w:val="single"/>
          <w:lang w:val="fr-BE"/>
        </w:rPr>
      </w:pPr>
      <w:r w:rsidRPr="00861D94">
        <w:rPr>
          <w:rFonts w:eastAsia="Times New Roman" w:cstheme="minorHAnsi"/>
          <w:b/>
          <w:u w:val="single"/>
          <w:lang w:val="fr-BE"/>
        </w:rPr>
        <w:t>Coûts récurrents</w:t>
      </w:r>
    </w:p>
    <w:p w14:paraId="0BAB96E7" w14:textId="77777777" w:rsidR="00D87D7F" w:rsidRPr="00D87D7F" w:rsidRDefault="00D87D7F" w:rsidP="00D87D7F">
      <w:pPr>
        <w:ind w:left="360"/>
        <w:rPr>
          <w:rFonts w:eastAsia="Times New Roman" w:cstheme="minorHAnsi"/>
          <w:b/>
          <w:u w:val="single"/>
          <w:lang w:val="fr-BE"/>
        </w:rPr>
      </w:pPr>
    </w:p>
    <w:p w14:paraId="6F251A9C" w14:textId="77777777" w:rsidR="00BE4FC8" w:rsidRPr="00E979FA" w:rsidRDefault="00BE4FC8" w:rsidP="00BE4FC8">
      <w:pPr>
        <w:pStyle w:val="Paragraphedeliste"/>
        <w:numPr>
          <w:ilvl w:val="1"/>
          <w:numId w:val="1"/>
        </w:numPr>
        <w:rPr>
          <w:rFonts w:eastAsia="Times New Roman" w:cstheme="minorHAnsi"/>
          <w:u w:val="single"/>
          <w:lang w:val="fr-BE"/>
        </w:rPr>
      </w:pPr>
      <w:r w:rsidRPr="00E979FA">
        <w:rPr>
          <w:rFonts w:eastAsia="Times New Roman" w:cstheme="minorHAnsi"/>
          <w:u w:val="single"/>
          <w:lang w:val="fr-BE"/>
        </w:rPr>
        <w:t>Espace au sol</w:t>
      </w:r>
    </w:p>
    <w:p w14:paraId="7D7AD0B3" w14:textId="77777777" w:rsidR="00BE4FC8" w:rsidRPr="00E979FA" w:rsidRDefault="00BE4FC8" w:rsidP="00BE4FC8">
      <w:pPr>
        <w:pStyle w:val="Paragraphedeliste"/>
        <w:ind w:left="1080"/>
        <w:rPr>
          <w:rFonts w:eastAsia="Times New Roman" w:cstheme="minorHAnsi"/>
          <w:b/>
          <w:lang w:val="fr-BE"/>
        </w:rPr>
      </w:pPr>
    </w:p>
    <w:tbl>
      <w:tblPr>
        <w:tblStyle w:val="TableNormal1"/>
        <w:tblW w:w="0" w:type="auto"/>
        <w:tblInd w:w="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842"/>
      </w:tblGrid>
      <w:tr w:rsidR="00BE4FC8" w:rsidRPr="00E979FA" w14:paraId="09DCF7D3" w14:textId="77777777" w:rsidTr="00E5480A">
        <w:trPr>
          <w:trHeight w:val="431"/>
        </w:trPr>
        <w:tc>
          <w:tcPr>
            <w:tcW w:w="2840" w:type="dxa"/>
          </w:tcPr>
          <w:p w14:paraId="6BA550F2" w14:textId="77777777" w:rsidR="00BE4FC8" w:rsidRPr="00861D94" w:rsidRDefault="00BE4FC8" w:rsidP="00E5480A">
            <w:pPr>
              <w:pStyle w:val="TableParagraph"/>
              <w:spacing w:before="20"/>
              <w:ind w:left="475"/>
              <w:jc w:val="left"/>
              <w:rPr>
                <w:rFonts w:asciiTheme="minorHAnsi" w:hAnsiTheme="minorHAnsi" w:cstheme="minorHAnsi"/>
                <w:lang w:val="fr-BE"/>
              </w:rPr>
            </w:pPr>
            <w:r w:rsidRPr="00861D94">
              <w:rPr>
                <w:rFonts w:asciiTheme="minorHAnsi" w:hAnsiTheme="minorHAnsi" w:cstheme="minorHAnsi"/>
                <w:w w:val="105"/>
                <w:lang w:val="fr-BE"/>
              </w:rPr>
              <w:t>Espace au sol récurrent</w:t>
            </w:r>
          </w:p>
        </w:tc>
        <w:tc>
          <w:tcPr>
            <w:tcW w:w="2842" w:type="dxa"/>
          </w:tcPr>
          <w:p w14:paraId="401F3FBC" w14:textId="77777777" w:rsidR="00BE4FC8" w:rsidRPr="00861D94" w:rsidRDefault="00BE4FC8" w:rsidP="00E5480A">
            <w:pPr>
              <w:pStyle w:val="TableParagraph"/>
              <w:spacing w:before="20"/>
              <w:ind w:right="871"/>
              <w:jc w:val="left"/>
              <w:rPr>
                <w:rFonts w:asciiTheme="minorHAnsi" w:hAnsiTheme="minorHAnsi" w:cstheme="minorHAnsi"/>
                <w:lang w:val="fr-BE"/>
              </w:rPr>
            </w:pPr>
            <w:r w:rsidRPr="00861D94">
              <w:rPr>
                <w:rFonts w:asciiTheme="minorHAnsi" w:hAnsiTheme="minorHAnsi" w:cstheme="minorHAnsi"/>
                <w:w w:val="110"/>
                <w:lang w:val="fr-BE"/>
              </w:rPr>
              <w:t>EUR</w:t>
            </w:r>
          </w:p>
        </w:tc>
      </w:tr>
      <w:tr w:rsidR="00BE4FC8" w:rsidRPr="00E979FA" w14:paraId="6FE78919" w14:textId="77777777" w:rsidTr="00E5480A">
        <w:trPr>
          <w:trHeight w:val="455"/>
        </w:trPr>
        <w:tc>
          <w:tcPr>
            <w:tcW w:w="2840" w:type="dxa"/>
          </w:tcPr>
          <w:p w14:paraId="7D1C1C09" w14:textId="77777777" w:rsidR="00BE4FC8" w:rsidRPr="00861D94" w:rsidRDefault="00BE4FC8" w:rsidP="00E5480A">
            <w:pPr>
              <w:pStyle w:val="TableParagraph"/>
              <w:spacing w:before="30"/>
              <w:ind w:left="108"/>
              <w:jc w:val="left"/>
              <w:rPr>
                <w:rFonts w:asciiTheme="minorHAnsi" w:hAnsiTheme="minorHAnsi" w:cstheme="minorHAnsi"/>
                <w:lang w:val="fr-BE"/>
              </w:rPr>
            </w:pPr>
            <w:r w:rsidRPr="00861D94">
              <w:rPr>
                <w:rFonts w:asciiTheme="minorHAnsi" w:hAnsiTheme="minorHAnsi" w:cstheme="minorHAnsi"/>
                <w:w w:val="110"/>
                <w:lang w:val="fr-BE"/>
              </w:rPr>
              <w:t xml:space="preserve">Par mètre carré </w:t>
            </w:r>
            <w:r w:rsidRPr="00861D94">
              <w:rPr>
                <w:rFonts w:asciiTheme="minorHAnsi" w:hAnsiTheme="minorHAnsi" w:cstheme="minorHAnsi"/>
                <w:w w:val="115"/>
                <w:lang w:val="fr-BE"/>
              </w:rPr>
              <w:t>/ an</w:t>
            </w:r>
          </w:p>
        </w:tc>
        <w:tc>
          <w:tcPr>
            <w:tcW w:w="2842" w:type="dxa"/>
          </w:tcPr>
          <w:p w14:paraId="3A6C82ED" w14:textId="77777777" w:rsidR="00BE4FC8" w:rsidRPr="00861D94" w:rsidRDefault="00BE4FC8" w:rsidP="00E5480A">
            <w:pPr>
              <w:pStyle w:val="TableParagraph"/>
              <w:spacing w:before="104"/>
              <w:ind w:right="871"/>
              <w:jc w:val="left"/>
              <w:rPr>
                <w:rFonts w:asciiTheme="minorHAnsi" w:hAnsiTheme="minorHAnsi" w:cstheme="minorHAnsi"/>
                <w:lang w:val="fr-BE"/>
              </w:rPr>
            </w:pPr>
            <w:r w:rsidRPr="007465BD">
              <w:rPr>
                <w:rFonts w:asciiTheme="minorHAnsi" w:hAnsiTheme="minorHAnsi" w:cstheme="minorHAnsi"/>
                <w:w w:val="110"/>
                <w:lang w:val="fr-BE"/>
              </w:rPr>
              <w:t>204.98</w:t>
            </w:r>
          </w:p>
        </w:tc>
      </w:tr>
    </w:tbl>
    <w:p w14:paraId="6C0119C7" w14:textId="6E80325A" w:rsidR="00D574E2" w:rsidRPr="008D4D6E" w:rsidRDefault="00BE4FC8" w:rsidP="008D4D6E">
      <w:pPr>
        <w:ind w:firstLine="720"/>
        <w:rPr>
          <w:rFonts w:eastAsia="Times New Roman" w:cstheme="minorHAnsi"/>
          <w:lang w:val="fr-BE"/>
        </w:rPr>
      </w:pPr>
      <w:r w:rsidRPr="008D4D6E">
        <w:rPr>
          <w:rFonts w:eastAsia="Times New Roman" w:cstheme="minorHAnsi"/>
          <w:lang w:val="fr-BE"/>
        </w:rPr>
        <w:t>(minimum 2m²)</w:t>
      </w:r>
    </w:p>
    <w:p w14:paraId="47188F12" w14:textId="77777777" w:rsidR="008D4D6E" w:rsidRPr="008D4D6E" w:rsidRDefault="008D4D6E" w:rsidP="008D4D6E">
      <w:pPr>
        <w:pStyle w:val="Paragraphedeliste"/>
        <w:ind w:left="1080"/>
        <w:rPr>
          <w:rFonts w:eastAsia="Times New Roman" w:cstheme="minorHAnsi"/>
          <w:lang w:val="fr-BE"/>
        </w:rPr>
      </w:pPr>
    </w:p>
    <w:p w14:paraId="002256BA" w14:textId="77777777" w:rsidR="00BE4FC8" w:rsidRPr="00E979FA" w:rsidRDefault="00BE4FC8" w:rsidP="00BE4FC8">
      <w:pPr>
        <w:pStyle w:val="Paragraphedeliste"/>
        <w:numPr>
          <w:ilvl w:val="1"/>
          <w:numId w:val="1"/>
        </w:numPr>
        <w:rPr>
          <w:rFonts w:eastAsia="Times New Roman" w:cstheme="minorHAnsi"/>
          <w:u w:val="single"/>
          <w:lang w:val="fr-BE"/>
        </w:rPr>
      </w:pPr>
      <w:r w:rsidRPr="00E979FA">
        <w:rPr>
          <w:rFonts w:eastAsia="Times New Roman" w:cstheme="minorHAnsi"/>
          <w:u w:val="single"/>
          <w:lang w:val="fr-BE"/>
        </w:rPr>
        <w:t>Coûts de notification de changements de batterie</w:t>
      </w:r>
    </w:p>
    <w:p w14:paraId="4065DE75" w14:textId="77777777" w:rsidR="00BE4FC8" w:rsidRPr="00E979FA" w:rsidRDefault="00BE4FC8" w:rsidP="00BE4FC8">
      <w:pPr>
        <w:pStyle w:val="Paragraphedeliste"/>
        <w:ind w:left="1080"/>
        <w:rPr>
          <w:rFonts w:eastAsia="Times New Roman" w:cstheme="minorHAnsi"/>
          <w:b/>
          <w:lang w:val="fr-BE"/>
        </w:rPr>
      </w:pPr>
    </w:p>
    <w:p w14:paraId="1F1413E3" w14:textId="749000D5" w:rsidR="00BE4FC8" w:rsidRPr="00E979FA" w:rsidRDefault="00BE4FC8" w:rsidP="00BE4FC8">
      <w:pPr>
        <w:pStyle w:val="Paragraphedeliste"/>
        <w:ind w:left="1080"/>
        <w:jc w:val="both"/>
        <w:rPr>
          <w:rFonts w:eastAsia="Times New Roman" w:cstheme="minorHAnsi"/>
          <w:lang w:val="fr-BE"/>
        </w:rPr>
      </w:pPr>
      <w:r w:rsidRPr="00E979FA">
        <w:rPr>
          <w:rFonts w:eastAsia="Times New Roman" w:cstheme="minorHAnsi"/>
          <w:lang w:val="fr-BE"/>
        </w:rPr>
        <w:t xml:space="preserve">Chaque fois qu’un Bénéficiaire installe des batteries dans un immeuble, </w:t>
      </w:r>
      <w:r w:rsidR="00D61470">
        <w:rPr>
          <w:rFonts w:eastAsia="Times New Roman" w:cstheme="minorHAnsi"/>
          <w:lang w:val="fr-BE"/>
        </w:rPr>
        <w:t>VOO</w:t>
      </w:r>
      <w:r w:rsidRPr="00E979FA">
        <w:rPr>
          <w:rFonts w:eastAsia="Times New Roman" w:cstheme="minorHAnsi"/>
          <w:lang w:val="fr-BE"/>
        </w:rPr>
        <w:t xml:space="preserve"> pourrait avoir à introduire une demande d’extension de la licence environnementale existante.</w:t>
      </w:r>
    </w:p>
    <w:p w14:paraId="604BA41C" w14:textId="77777777" w:rsidR="00BE4FC8" w:rsidRPr="00E979FA" w:rsidRDefault="00BE4FC8" w:rsidP="00BE4FC8">
      <w:pPr>
        <w:pStyle w:val="Paragraphedeliste"/>
        <w:ind w:left="1080"/>
        <w:jc w:val="both"/>
        <w:rPr>
          <w:rFonts w:eastAsia="Times New Roman" w:cstheme="minorHAnsi"/>
          <w:lang w:val="fr-BE"/>
        </w:rPr>
      </w:pPr>
    </w:p>
    <w:p w14:paraId="50E3AC4C" w14:textId="773BE958" w:rsidR="00BE4FC8" w:rsidRPr="00E979FA" w:rsidRDefault="00BE4FC8" w:rsidP="00BE4FC8">
      <w:pPr>
        <w:pStyle w:val="Paragraphedeliste"/>
        <w:ind w:left="1080"/>
        <w:jc w:val="both"/>
        <w:rPr>
          <w:rFonts w:eastAsia="Times New Roman" w:cstheme="minorHAnsi"/>
          <w:lang w:val="fr-BE"/>
        </w:rPr>
      </w:pPr>
      <w:r w:rsidRPr="00E979FA">
        <w:rPr>
          <w:rFonts w:eastAsia="Times New Roman" w:cstheme="minorHAnsi"/>
          <w:lang w:val="fr-BE"/>
        </w:rPr>
        <w:t xml:space="preserve">Les frais administratifs pour une telle demande seront, une fois que </w:t>
      </w:r>
      <w:r w:rsidR="00D61470">
        <w:rPr>
          <w:rFonts w:eastAsia="Times New Roman" w:cstheme="minorHAnsi"/>
          <w:lang w:val="fr-BE"/>
        </w:rPr>
        <w:t>VOO</w:t>
      </w:r>
      <w:r w:rsidRPr="00E979FA">
        <w:rPr>
          <w:rFonts w:eastAsia="Times New Roman" w:cstheme="minorHAnsi"/>
          <w:lang w:val="fr-BE"/>
        </w:rPr>
        <w:t xml:space="preserve"> aura montré au Bénéficiaire une preuve écrite de la demande et la réponse des autorités compétentes (y compris la facture) de 737,41 €.</w:t>
      </w:r>
    </w:p>
    <w:p w14:paraId="4955CF8D" w14:textId="77777777" w:rsidR="00BE4FC8" w:rsidRPr="00E979FA" w:rsidRDefault="00BE4FC8" w:rsidP="00BE4FC8">
      <w:pPr>
        <w:pStyle w:val="Paragraphedeliste"/>
        <w:ind w:left="1080"/>
        <w:jc w:val="both"/>
        <w:rPr>
          <w:rFonts w:eastAsia="Times New Roman" w:cstheme="minorHAnsi"/>
          <w:lang w:val="fr-BE"/>
        </w:rPr>
      </w:pPr>
    </w:p>
    <w:p w14:paraId="0146E387" w14:textId="6C934940" w:rsidR="00D574E2" w:rsidRPr="00951E90" w:rsidRDefault="00BE4FC8" w:rsidP="008D4D6E">
      <w:pPr>
        <w:pStyle w:val="Paragraphedeliste"/>
        <w:ind w:left="1080"/>
        <w:jc w:val="both"/>
        <w:rPr>
          <w:rFonts w:eastAsia="Times New Roman" w:cstheme="minorHAnsi"/>
          <w:b/>
          <w:lang w:val="fr-BE"/>
        </w:rPr>
      </w:pPr>
      <w:r w:rsidRPr="00E979FA">
        <w:rPr>
          <w:rFonts w:eastAsia="Times New Roman" w:cstheme="minorHAnsi"/>
          <w:lang w:val="fr-BE"/>
        </w:rPr>
        <w:t>Si une nouvelle licence environnementale doit être demandée, les coûts seront calculés au cas par cas.</w:t>
      </w:r>
    </w:p>
    <w:p w14:paraId="17936BD1" w14:textId="77777777" w:rsidR="00D574E2" w:rsidRPr="00E979FA" w:rsidRDefault="00D574E2" w:rsidP="00BE4FC8">
      <w:pPr>
        <w:pStyle w:val="Paragraphedeliste"/>
        <w:ind w:left="1080"/>
        <w:rPr>
          <w:rFonts w:eastAsia="Times New Roman" w:cstheme="minorHAnsi"/>
          <w:b/>
          <w:lang w:val="fr-BE"/>
        </w:rPr>
      </w:pPr>
    </w:p>
    <w:p w14:paraId="50262870" w14:textId="77777777" w:rsidR="00BE4FC8" w:rsidRPr="00E979FA" w:rsidRDefault="00BE4FC8" w:rsidP="00BE4FC8">
      <w:pPr>
        <w:pStyle w:val="Paragraphedeliste"/>
        <w:numPr>
          <w:ilvl w:val="1"/>
          <w:numId w:val="1"/>
        </w:numPr>
        <w:rPr>
          <w:rFonts w:eastAsia="Times New Roman" w:cstheme="minorHAnsi"/>
          <w:u w:val="single"/>
          <w:lang w:val="fr-BE"/>
        </w:rPr>
      </w:pPr>
      <w:r w:rsidRPr="00E979FA">
        <w:rPr>
          <w:rFonts w:eastAsia="Times New Roman" w:cstheme="minorHAnsi"/>
          <w:u w:val="single"/>
          <w:lang w:val="fr-BE"/>
        </w:rPr>
        <w:t>Consommation d’énergie</w:t>
      </w:r>
    </w:p>
    <w:p w14:paraId="62EA31DE" w14:textId="77777777" w:rsidR="00BE4FC8" w:rsidRPr="00E979FA" w:rsidRDefault="00BE4FC8" w:rsidP="00BE4FC8">
      <w:pPr>
        <w:pStyle w:val="Paragraphedeliste"/>
        <w:ind w:left="1080"/>
        <w:rPr>
          <w:rFonts w:eastAsia="Times New Roman" w:cstheme="minorHAnsi"/>
          <w:b/>
          <w:lang w:val="fr-BE"/>
        </w:rPr>
      </w:pPr>
    </w:p>
    <w:tbl>
      <w:tblPr>
        <w:tblStyle w:val="TableNormal1"/>
        <w:tblW w:w="0" w:type="auto"/>
        <w:tblInd w:w="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842"/>
        <w:gridCol w:w="2842"/>
      </w:tblGrid>
      <w:tr w:rsidR="00BE4FC8" w:rsidRPr="00E979FA" w14:paraId="5E8FCA39" w14:textId="77777777" w:rsidTr="00E5480A">
        <w:trPr>
          <w:trHeight w:val="429"/>
        </w:trPr>
        <w:tc>
          <w:tcPr>
            <w:tcW w:w="2840" w:type="dxa"/>
          </w:tcPr>
          <w:p w14:paraId="4D88020A" w14:textId="77777777" w:rsidR="00BE4FC8" w:rsidRPr="00E979FA" w:rsidRDefault="00BE4FC8" w:rsidP="00E5480A">
            <w:pPr>
              <w:pStyle w:val="TableParagraph"/>
              <w:ind w:left="821"/>
              <w:jc w:val="left"/>
              <w:rPr>
                <w:rFonts w:asciiTheme="minorHAnsi" w:hAnsiTheme="minorHAnsi" w:cstheme="minorHAnsi"/>
                <w:lang w:val="fr-BE"/>
              </w:rPr>
            </w:pPr>
            <w:r w:rsidRPr="00E979FA">
              <w:rPr>
                <w:rFonts w:asciiTheme="minorHAnsi" w:hAnsiTheme="minorHAnsi" w:cstheme="minorHAnsi"/>
                <w:w w:val="105"/>
                <w:lang w:val="fr-BE"/>
              </w:rPr>
              <w:t xml:space="preserve">Consommation </w:t>
            </w:r>
          </w:p>
        </w:tc>
        <w:tc>
          <w:tcPr>
            <w:tcW w:w="2842" w:type="dxa"/>
          </w:tcPr>
          <w:p w14:paraId="75C32527" w14:textId="77777777" w:rsidR="00BE4FC8" w:rsidRPr="00E979FA" w:rsidRDefault="00BE4FC8" w:rsidP="00E5480A">
            <w:pPr>
              <w:pStyle w:val="TableParagraph"/>
              <w:ind w:right="874"/>
              <w:rPr>
                <w:rFonts w:asciiTheme="minorHAnsi" w:hAnsiTheme="minorHAnsi" w:cstheme="minorHAnsi"/>
                <w:lang w:val="fr-BE"/>
              </w:rPr>
            </w:pPr>
            <w:r w:rsidRPr="00E979FA">
              <w:rPr>
                <w:rFonts w:asciiTheme="minorHAnsi" w:hAnsiTheme="minorHAnsi" w:cstheme="minorHAnsi"/>
                <w:w w:val="115"/>
                <w:lang w:val="fr-BE"/>
              </w:rPr>
              <w:t>EUR/</w:t>
            </w:r>
            <w:proofErr w:type="spellStart"/>
            <w:r w:rsidRPr="00E979FA">
              <w:rPr>
                <w:rFonts w:asciiTheme="minorHAnsi" w:hAnsiTheme="minorHAnsi" w:cstheme="minorHAnsi"/>
                <w:w w:val="115"/>
                <w:lang w:val="fr-BE"/>
              </w:rPr>
              <w:t>Amp</w:t>
            </w:r>
            <w:proofErr w:type="spellEnd"/>
          </w:p>
        </w:tc>
        <w:tc>
          <w:tcPr>
            <w:tcW w:w="2842" w:type="dxa"/>
          </w:tcPr>
          <w:p w14:paraId="5A753C1B" w14:textId="77777777" w:rsidR="00BE4FC8" w:rsidRPr="00E979FA" w:rsidRDefault="00BE4FC8" w:rsidP="00E5480A">
            <w:pPr>
              <w:pStyle w:val="TableParagraph"/>
              <w:ind w:right="876"/>
              <w:rPr>
                <w:rFonts w:asciiTheme="minorHAnsi" w:hAnsiTheme="minorHAnsi" w:cstheme="minorHAnsi"/>
                <w:lang w:val="fr-BE"/>
              </w:rPr>
            </w:pPr>
            <w:r w:rsidRPr="00E979FA">
              <w:rPr>
                <w:rFonts w:asciiTheme="minorHAnsi" w:hAnsiTheme="minorHAnsi" w:cstheme="minorHAnsi"/>
                <w:w w:val="115"/>
                <w:lang w:val="fr-BE"/>
              </w:rPr>
              <w:t>EUR /</w:t>
            </w:r>
            <w:r w:rsidRPr="00E979FA">
              <w:rPr>
                <w:rFonts w:asciiTheme="minorHAnsi" w:hAnsiTheme="minorHAnsi" w:cstheme="minorHAnsi"/>
                <w:spacing w:val="-59"/>
                <w:w w:val="115"/>
                <w:lang w:val="fr-BE"/>
              </w:rPr>
              <w:t xml:space="preserve"> </w:t>
            </w:r>
            <w:proofErr w:type="spellStart"/>
            <w:r w:rsidRPr="00E979FA">
              <w:rPr>
                <w:rFonts w:asciiTheme="minorHAnsi" w:hAnsiTheme="minorHAnsi" w:cstheme="minorHAnsi"/>
                <w:w w:val="115"/>
                <w:lang w:val="fr-BE"/>
              </w:rPr>
              <w:t>Kwh</w:t>
            </w:r>
            <w:proofErr w:type="spellEnd"/>
          </w:p>
        </w:tc>
      </w:tr>
      <w:tr w:rsidR="00BE4FC8" w:rsidRPr="00E979FA" w14:paraId="39F21241" w14:textId="77777777" w:rsidTr="00E5480A">
        <w:trPr>
          <w:trHeight w:val="465"/>
        </w:trPr>
        <w:tc>
          <w:tcPr>
            <w:tcW w:w="2840" w:type="dxa"/>
          </w:tcPr>
          <w:p w14:paraId="4D4DD48F" w14:textId="77777777" w:rsidR="00BE4FC8" w:rsidRPr="00E979FA" w:rsidRDefault="00BE4FC8" w:rsidP="00E5480A">
            <w:pPr>
              <w:pStyle w:val="TableParagraph"/>
              <w:spacing w:before="35"/>
              <w:ind w:left="108"/>
              <w:jc w:val="left"/>
              <w:rPr>
                <w:rFonts w:asciiTheme="minorHAnsi" w:hAnsiTheme="minorHAnsi" w:cstheme="minorHAnsi"/>
                <w:lang w:val="fr-BE"/>
              </w:rPr>
            </w:pPr>
            <w:r w:rsidRPr="00E979FA">
              <w:rPr>
                <w:rFonts w:asciiTheme="minorHAnsi" w:hAnsiTheme="minorHAnsi" w:cstheme="minorHAnsi"/>
                <w:w w:val="115"/>
                <w:lang w:val="fr-BE"/>
              </w:rPr>
              <w:t>230V</w:t>
            </w:r>
          </w:p>
        </w:tc>
        <w:tc>
          <w:tcPr>
            <w:tcW w:w="2842" w:type="dxa"/>
          </w:tcPr>
          <w:p w14:paraId="3DE04259" w14:textId="77777777" w:rsidR="00BE4FC8" w:rsidRPr="007465BD" w:rsidRDefault="00BE4FC8" w:rsidP="00E5480A">
            <w:pPr>
              <w:pStyle w:val="TableParagraph"/>
              <w:spacing w:before="35"/>
              <w:ind w:right="871"/>
              <w:rPr>
                <w:rFonts w:asciiTheme="minorHAnsi" w:hAnsiTheme="minorHAnsi" w:cstheme="minorHAnsi"/>
                <w:lang w:val="fr-BE"/>
              </w:rPr>
            </w:pPr>
            <w:r w:rsidRPr="007465BD">
              <w:rPr>
                <w:rFonts w:asciiTheme="minorHAnsi" w:hAnsiTheme="minorHAnsi" w:cstheme="minorHAnsi"/>
                <w:lang w:val="fr-BE"/>
              </w:rPr>
              <w:t>340,80</w:t>
            </w:r>
          </w:p>
        </w:tc>
        <w:tc>
          <w:tcPr>
            <w:tcW w:w="2842" w:type="dxa"/>
          </w:tcPr>
          <w:p w14:paraId="5F5E2659" w14:textId="77777777" w:rsidR="00BE4FC8" w:rsidRPr="007465BD" w:rsidRDefault="00BE4FC8" w:rsidP="00E5480A">
            <w:pPr>
              <w:pStyle w:val="TableParagraph"/>
              <w:spacing w:before="35"/>
              <w:ind w:left="882" w:right="876"/>
              <w:rPr>
                <w:rFonts w:asciiTheme="minorHAnsi" w:hAnsiTheme="minorHAnsi" w:cstheme="minorHAnsi"/>
                <w:lang w:val="fr-BE"/>
              </w:rPr>
            </w:pPr>
            <w:r w:rsidRPr="007465BD">
              <w:rPr>
                <w:rFonts w:asciiTheme="minorHAnsi" w:hAnsiTheme="minorHAnsi" w:cstheme="minorHAnsi"/>
                <w:w w:val="110"/>
                <w:lang w:val="fr-BE"/>
              </w:rPr>
              <w:t>0,1664</w:t>
            </w:r>
          </w:p>
        </w:tc>
      </w:tr>
    </w:tbl>
    <w:p w14:paraId="16B30D00" w14:textId="77777777" w:rsidR="00BE4FC8" w:rsidRDefault="00BE4FC8" w:rsidP="00BE4FC8">
      <w:pPr>
        <w:pStyle w:val="Paragraphedeliste"/>
        <w:ind w:left="1080"/>
        <w:rPr>
          <w:rFonts w:eastAsia="Times New Roman" w:cstheme="minorHAnsi"/>
          <w:b/>
          <w:lang w:val="fr-BE"/>
        </w:rPr>
      </w:pPr>
    </w:p>
    <w:p w14:paraId="08A188CE" w14:textId="2B0D7F2C" w:rsidR="00BE4FC8" w:rsidRPr="008D4D6E" w:rsidRDefault="00BE4FC8" w:rsidP="008D4D6E">
      <w:pPr>
        <w:pStyle w:val="Paragraphedeliste"/>
        <w:ind w:left="1080"/>
        <w:rPr>
          <w:rFonts w:eastAsia="Times New Roman" w:cstheme="minorHAnsi"/>
          <w:lang w:val="fr-BE"/>
        </w:rPr>
      </w:pPr>
      <w:r w:rsidRPr="00E5480A">
        <w:rPr>
          <w:rFonts w:eastAsia="Times New Roman" w:cstheme="minorHAnsi"/>
          <w:lang w:val="fr-BE"/>
        </w:rPr>
        <w:t xml:space="preserve">Le prix de l’énergie </w:t>
      </w:r>
      <w:r>
        <w:rPr>
          <w:rFonts w:eastAsia="Times New Roman" w:cstheme="minorHAnsi"/>
          <w:lang w:val="fr-BE"/>
        </w:rPr>
        <w:t xml:space="preserve">peut </w:t>
      </w:r>
      <w:r w:rsidRPr="00E5480A">
        <w:rPr>
          <w:rFonts w:eastAsia="Times New Roman" w:cstheme="minorHAnsi"/>
          <w:lang w:val="fr-BE"/>
        </w:rPr>
        <w:t xml:space="preserve">être revu </w:t>
      </w:r>
      <w:r>
        <w:rPr>
          <w:rFonts w:eastAsia="Times New Roman" w:cstheme="minorHAnsi"/>
          <w:lang w:val="fr-BE"/>
        </w:rPr>
        <w:t>en cas de variation importante du prix du marché</w:t>
      </w:r>
    </w:p>
    <w:p w14:paraId="0D9BE621" w14:textId="77777777" w:rsidR="00D574E2" w:rsidRPr="00E979FA" w:rsidRDefault="00D574E2" w:rsidP="00BE4FC8">
      <w:pPr>
        <w:pStyle w:val="Paragraphedeliste"/>
        <w:ind w:left="1080"/>
        <w:rPr>
          <w:rFonts w:eastAsia="Times New Roman" w:cstheme="minorHAnsi"/>
          <w:b/>
          <w:lang w:val="fr-BE"/>
        </w:rPr>
      </w:pPr>
    </w:p>
    <w:p w14:paraId="3809FB83" w14:textId="77777777" w:rsidR="00BE4FC8" w:rsidRPr="00E979FA" w:rsidRDefault="00BE4FC8" w:rsidP="00BE4FC8">
      <w:pPr>
        <w:pStyle w:val="Paragraphedeliste"/>
        <w:numPr>
          <w:ilvl w:val="1"/>
          <w:numId w:val="1"/>
        </w:numPr>
        <w:rPr>
          <w:rFonts w:eastAsia="Times New Roman" w:cstheme="minorHAnsi"/>
          <w:u w:val="single"/>
          <w:lang w:val="fr-BE"/>
        </w:rPr>
      </w:pPr>
      <w:r w:rsidRPr="00E979FA">
        <w:rPr>
          <w:rFonts w:eastAsia="Times New Roman" w:cstheme="minorHAnsi"/>
          <w:u w:val="single"/>
          <w:lang w:val="fr-BE"/>
        </w:rPr>
        <w:t>HVAC</w:t>
      </w:r>
    </w:p>
    <w:p w14:paraId="72029EAA" w14:textId="77777777" w:rsidR="00BE4FC8" w:rsidRDefault="00BE4FC8" w:rsidP="00BE4FC8">
      <w:pPr>
        <w:pStyle w:val="Paragraphedeliste"/>
        <w:ind w:left="1080"/>
        <w:rPr>
          <w:rFonts w:eastAsia="Times New Roman" w:cstheme="minorHAnsi"/>
          <w:color w:val="000000"/>
          <w:lang w:val="fr-BE"/>
        </w:rPr>
      </w:pPr>
    </w:p>
    <w:p w14:paraId="698DC3EF" w14:textId="28AB40A5" w:rsidR="00BE4FC8" w:rsidRPr="00E979FA" w:rsidRDefault="00BE4FC8" w:rsidP="00BE4FC8">
      <w:pPr>
        <w:pStyle w:val="Paragraphedeliste"/>
        <w:ind w:left="1080"/>
        <w:rPr>
          <w:rFonts w:eastAsia="Times New Roman" w:cstheme="minorHAnsi"/>
          <w:color w:val="000000"/>
          <w:lang w:val="fr-BE"/>
        </w:rPr>
      </w:pPr>
      <w:r w:rsidRPr="00E979FA">
        <w:rPr>
          <w:rFonts w:eastAsia="Times New Roman" w:cstheme="minorHAnsi"/>
          <w:color w:val="000000"/>
          <w:lang w:val="fr-BE"/>
        </w:rPr>
        <w:t>Le HVAC (s’il y en a un) ajoute 30 % de consommation au point 2.3.</w:t>
      </w:r>
      <w:r>
        <w:rPr>
          <w:rFonts w:eastAsia="Times New Roman" w:cstheme="minorHAnsi"/>
          <w:color w:val="000000"/>
          <w:lang w:val="fr-BE"/>
        </w:rPr>
        <w:t xml:space="preserve"> </w:t>
      </w:r>
    </w:p>
    <w:p w14:paraId="7EA2A27A" w14:textId="77777777" w:rsidR="00BE4FC8" w:rsidRPr="00E979FA" w:rsidRDefault="00BE4FC8" w:rsidP="00BE4FC8">
      <w:pPr>
        <w:pStyle w:val="Paragraphedeliste"/>
        <w:ind w:left="1080"/>
        <w:rPr>
          <w:rFonts w:eastAsia="Times New Roman" w:cstheme="minorHAnsi"/>
          <w:b/>
          <w:color w:val="000000"/>
          <w:lang w:val="fr-BE"/>
        </w:rPr>
      </w:pPr>
    </w:p>
    <w:p w14:paraId="40402FC9" w14:textId="7DE416FC" w:rsidR="00BE4FC8" w:rsidRPr="00E979FA" w:rsidRDefault="00DC4010" w:rsidP="00BE4FC8">
      <w:pPr>
        <w:pStyle w:val="Paragraphedeliste"/>
        <w:numPr>
          <w:ilvl w:val="1"/>
          <w:numId w:val="1"/>
        </w:numPr>
        <w:rPr>
          <w:rFonts w:eastAsia="Times New Roman" w:cstheme="minorHAnsi"/>
          <w:u w:val="single"/>
          <w:lang w:val="fr-BE"/>
        </w:rPr>
      </w:pPr>
      <w:r>
        <w:rPr>
          <w:rFonts w:eastAsia="Times New Roman" w:cstheme="minorHAnsi"/>
          <w:u w:val="single"/>
          <w:lang w:val="fr-BE"/>
        </w:rPr>
        <w:lastRenderedPageBreak/>
        <w:t>Frais</w:t>
      </w:r>
      <w:r w:rsidR="00BE4FC8" w:rsidRPr="00E979FA">
        <w:rPr>
          <w:rFonts w:eastAsia="Times New Roman" w:cstheme="minorHAnsi"/>
          <w:u w:val="single"/>
          <w:lang w:val="fr-BE"/>
        </w:rPr>
        <w:t xml:space="preserve"> administratifs</w:t>
      </w:r>
    </w:p>
    <w:p w14:paraId="79760975" w14:textId="77777777" w:rsidR="00BE4FC8" w:rsidRPr="00E979FA" w:rsidRDefault="00BE4FC8" w:rsidP="00BE4FC8">
      <w:pPr>
        <w:pStyle w:val="Paragraphedeliste"/>
        <w:ind w:left="1080"/>
        <w:rPr>
          <w:rFonts w:eastAsia="Times New Roman" w:cstheme="minorHAnsi"/>
          <w:b/>
          <w:lang w:val="fr-BE"/>
        </w:rPr>
      </w:pPr>
    </w:p>
    <w:p w14:paraId="4055CCBC" w14:textId="77777777" w:rsidR="00BE4FC8" w:rsidRPr="00E979FA" w:rsidRDefault="00BE4FC8" w:rsidP="00BE4FC8">
      <w:pPr>
        <w:pStyle w:val="Paragraphedeliste"/>
        <w:ind w:left="1080"/>
        <w:rPr>
          <w:rFonts w:eastAsia="Times New Roman" w:cstheme="minorHAnsi"/>
          <w:lang w:val="fr-BE"/>
        </w:rPr>
      </w:pPr>
      <w:r w:rsidRPr="00E979FA">
        <w:rPr>
          <w:rFonts w:eastAsia="Times New Roman" w:cstheme="minorHAnsi"/>
          <w:lang w:val="fr-BE"/>
        </w:rPr>
        <w:t>Pour l’administration des factures des coûts récurrents, des frais d’administration seront imputés une fois par an :</w:t>
      </w:r>
    </w:p>
    <w:p w14:paraId="369C0C42" w14:textId="77777777" w:rsidR="00BE4FC8" w:rsidRPr="00E979FA" w:rsidRDefault="00BE4FC8" w:rsidP="00BE4FC8">
      <w:pPr>
        <w:pStyle w:val="Corpsdetexte"/>
        <w:spacing w:before="99" w:line="259" w:lineRule="auto"/>
        <w:ind w:left="360" w:right="3383" w:firstLine="720"/>
        <w:jc w:val="both"/>
        <w:rPr>
          <w:rFonts w:asciiTheme="minorHAnsi" w:hAnsiTheme="minorHAnsi" w:cstheme="minorHAnsi"/>
          <w:sz w:val="22"/>
          <w:szCs w:val="22"/>
          <w:lang w:val="fr-BE"/>
        </w:rPr>
      </w:pPr>
      <w:r w:rsidRPr="00E979FA">
        <w:rPr>
          <w:rFonts w:asciiTheme="minorHAnsi" w:hAnsiTheme="minorHAnsi" w:cstheme="minorHAnsi"/>
          <w:sz w:val="22"/>
          <w:szCs w:val="22"/>
          <w:lang w:val="fr-BE"/>
        </w:rPr>
        <w:t xml:space="preserve">230V : </w:t>
      </w:r>
      <w:r>
        <w:rPr>
          <w:rFonts w:asciiTheme="minorHAnsi" w:hAnsiTheme="minorHAnsi" w:cstheme="minorHAnsi"/>
          <w:sz w:val="22"/>
          <w:szCs w:val="22"/>
          <w:lang w:val="fr-BE"/>
        </w:rPr>
        <w:t>15</w:t>
      </w:r>
      <w:r w:rsidRPr="00E979FA">
        <w:rPr>
          <w:rFonts w:asciiTheme="minorHAnsi" w:hAnsiTheme="minorHAnsi" w:cstheme="minorHAnsi"/>
          <w:sz w:val="22"/>
          <w:szCs w:val="22"/>
          <w:lang w:val="fr-BE"/>
        </w:rPr>
        <w:t xml:space="preserve"> </w:t>
      </w:r>
      <w:proofErr w:type="spellStart"/>
      <w:r w:rsidRPr="00E979FA">
        <w:rPr>
          <w:rFonts w:asciiTheme="minorHAnsi" w:hAnsiTheme="minorHAnsi" w:cstheme="minorHAnsi"/>
          <w:sz w:val="22"/>
          <w:szCs w:val="22"/>
          <w:lang w:val="fr-BE"/>
        </w:rPr>
        <w:t>Eur</w:t>
      </w:r>
      <w:proofErr w:type="spellEnd"/>
      <w:r w:rsidRPr="00E979FA">
        <w:rPr>
          <w:rFonts w:asciiTheme="minorHAnsi" w:hAnsiTheme="minorHAnsi" w:cstheme="minorHAnsi"/>
          <w:sz w:val="22"/>
          <w:szCs w:val="22"/>
          <w:lang w:val="fr-BE"/>
        </w:rPr>
        <w:t xml:space="preserve">/Site/Bénéficiaire/an </w:t>
      </w:r>
    </w:p>
    <w:p w14:paraId="1952A091" w14:textId="77777777" w:rsidR="00116410" w:rsidRDefault="00116410" w:rsidP="00C87AD0">
      <w:pPr>
        <w:ind w:left="720"/>
        <w:rPr>
          <w:rFonts w:ascii="Calibri" w:eastAsia="Times New Roman" w:hAnsi="Calibri" w:cs="Times New Roman"/>
          <w:color w:val="000000"/>
          <w:sz w:val="24"/>
          <w:szCs w:val="24"/>
          <w:lang w:val="fr-BE"/>
        </w:rPr>
      </w:pPr>
    </w:p>
    <w:p w14:paraId="46A85825" w14:textId="4CDBCF5C" w:rsidR="00951E90" w:rsidRDefault="00116410" w:rsidP="005746F1">
      <w:pPr>
        <w:ind w:left="720"/>
        <w:rPr>
          <w:rFonts w:ascii="Calibri" w:eastAsia="Times New Roman" w:hAnsi="Calibri" w:cs="Times New Roman"/>
          <w:color w:val="000000"/>
          <w:sz w:val="24"/>
          <w:szCs w:val="24"/>
          <w:lang w:val="fr-BE"/>
        </w:rPr>
      </w:pPr>
      <w:r w:rsidRPr="005746F1">
        <w:rPr>
          <w:rFonts w:ascii="Calibri" w:eastAsia="Times New Roman" w:hAnsi="Calibri" w:cs="Times New Roman"/>
          <w:color w:val="000000"/>
          <w:sz w:val="24"/>
          <w:szCs w:val="24"/>
          <w:u w:val="single"/>
          <w:lang w:val="fr-BE"/>
        </w:rPr>
        <w:t>Délai pour la mise à disposition de la collocation</w:t>
      </w:r>
      <w:r w:rsidRPr="005746F1">
        <w:rPr>
          <w:rFonts w:ascii="Calibri" w:eastAsia="Times New Roman" w:hAnsi="Calibri" w:cs="Times New Roman"/>
          <w:color w:val="000000"/>
          <w:sz w:val="24"/>
          <w:szCs w:val="24"/>
          <w:lang w:val="fr-BE"/>
        </w:rPr>
        <w:t xml:space="preserve">: </w:t>
      </w:r>
      <w:r w:rsidR="00951E90">
        <w:rPr>
          <w:rFonts w:ascii="Calibri" w:eastAsia="Times New Roman" w:hAnsi="Calibri" w:cs="Times New Roman"/>
          <w:color w:val="000000"/>
          <w:sz w:val="24"/>
          <w:szCs w:val="24"/>
          <w:lang w:val="fr-BE"/>
        </w:rPr>
        <w:t xml:space="preserve">au cas par cas. </w:t>
      </w:r>
    </w:p>
    <w:p w14:paraId="11E689BC" w14:textId="79A0CBFF" w:rsidR="007D1B44" w:rsidRPr="005746F1" w:rsidRDefault="005746F1" w:rsidP="005746F1">
      <w:pPr>
        <w:ind w:left="720"/>
        <w:rPr>
          <w:rFonts w:ascii="Calibri" w:eastAsia="Times New Roman" w:hAnsi="Calibri" w:cs="Times New Roman"/>
          <w:color w:val="000000"/>
          <w:sz w:val="24"/>
          <w:szCs w:val="24"/>
          <w:lang w:val="fr-BE"/>
        </w:rPr>
      </w:pPr>
      <w:r w:rsidRPr="005746F1">
        <w:rPr>
          <w:rFonts w:ascii="Calibri" w:eastAsia="Times New Roman" w:hAnsi="Calibri" w:cs="Times New Roman"/>
          <w:color w:val="000000"/>
          <w:sz w:val="24"/>
          <w:szCs w:val="24"/>
          <w:lang w:val="fr-BE"/>
        </w:rPr>
        <w:t xml:space="preserve">Un «site </w:t>
      </w:r>
      <w:proofErr w:type="spellStart"/>
      <w:r w:rsidRPr="005746F1">
        <w:rPr>
          <w:rFonts w:ascii="Calibri" w:eastAsia="Times New Roman" w:hAnsi="Calibri" w:cs="Times New Roman"/>
          <w:color w:val="000000"/>
          <w:sz w:val="24"/>
          <w:szCs w:val="24"/>
          <w:lang w:val="fr-BE"/>
        </w:rPr>
        <w:t>survey</w:t>
      </w:r>
      <w:proofErr w:type="spellEnd"/>
      <w:r w:rsidRPr="005746F1">
        <w:rPr>
          <w:rFonts w:ascii="Calibri" w:eastAsia="Times New Roman" w:hAnsi="Calibri" w:cs="Times New Roman"/>
          <w:color w:val="000000"/>
          <w:sz w:val="24"/>
          <w:szCs w:val="24"/>
          <w:lang w:val="fr-BE"/>
        </w:rPr>
        <w:t xml:space="preserve">» peut être réalisé dès que </w:t>
      </w:r>
      <w:r w:rsidR="00951E90">
        <w:rPr>
          <w:rFonts w:ascii="Calibri" w:eastAsia="Times New Roman" w:hAnsi="Calibri" w:cs="Times New Roman"/>
          <w:color w:val="000000"/>
          <w:sz w:val="24"/>
          <w:szCs w:val="24"/>
          <w:lang w:val="fr-BE"/>
        </w:rPr>
        <w:t>l’OLO le souhaite</w:t>
      </w:r>
      <w:r w:rsidRPr="005746F1">
        <w:rPr>
          <w:rFonts w:ascii="Calibri" w:eastAsia="Times New Roman" w:hAnsi="Calibri" w:cs="Times New Roman"/>
          <w:color w:val="000000"/>
          <w:sz w:val="24"/>
          <w:szCs w:val="24"/>
          <w:lang w:val="fr-BE"/>
        </w:rPr>
        <w:t xml:space="preserve"> </w:t>
      </w:r>
      <w:r w:rsidR="00951E90">
        <w:rPr>
          <w:rFonts w:ascii="Calibri" w:eastAsia="Times New Roman" w:hAnsi="Calibri" w:cs="Times New Roman"/>
          <w:color w:val="000000"/>
          <w:sz w:val="24"/>
          <w:szCs w:val="24"/>
          <w:lang w:val="fr-BE"/>
        </w:rPr>
        <w:t>(</w:t>
      </w:r>
      <w:r w:rsidRPr="005746F1">
        <w:rPr>
          <w:rFonts w:ascii="Calibri" w:eastAsia="Times New Roman" w:hAnsi="Calibri" w:cs="Times New Roman"/>
          <w:color w:val="000000"/>
          <w:sz w:val="24"/>
          <w:szCs w:val="24"/>
          <w:lang w:val="fr-BE"/>
        </w:rPr>
        <w:t>même avant la signature du devis</w:t>
      </w:r>
      <w:r w:rsidR="00951E90">
        <w:rPr>
          <w:rFonts w:ascii="Calibri" w:eastAsia="Times New Roman" w:hAnsi="Calibri" w:cs="Times New Roman"/>
          <w:color w:val="000000"/>
          <w:sz w:val="24"/>
          <w:szCs w:val="24"/>
          <w:lang w:val="fr-BE"/>
        </w:rPr>
        <w:t>)</w:t>
      </w:r>
      <w:r w:rsidRPr="005746F1">
        <w:rPr>
          <w:rFonts w:ascii="Calibri" w:eastAsia="Times New Roman" w:hAnsi="Calibri" w:cs="Times New Roman"/>
          <w:color w:val="000000"/>
          <w:sz w:val="24"/>
          <w:szCs w:val="24"/>
          <w:lang w:val="fr-BE"/>
        </w:rPr>
        <w:t>.</w:t>
      </w:r>
    </w:p>
    <w:p w14:paraId="543EA778" w14:textId="3FD49054" w:rsidR="00B41E1E" w:rsidRDefault="00B41E1E">
      <w:pPr>
        <w:rPr>
          <w:rFonts w:ascii="Calibri" w:eastAsia="Times New Roman" w:hAnsi="Calibri" w:cs="Times New Roman"/>
          <w:color w:val="000000"/>
          <w:sz w:val="24"/>
          <w:szCs w:val="24"/>
          <w:lang w:val="fr-BE"/>
        </w:rPr>
      </w:pPr>
    </w:p>
    <w:p w14:paraId="58B1BC15" w14:textId="77777777" w:rsidR="008D4D6E" w:rsidRDefault="008D4D6E">
      <w:pPr>
        <w:rPr>
          <w:rFonts w:ascii="Calibri" w:eastAsia="Times New Roman" w:hAnsi="Calibri" w:cs="Times New Roman"/>
          <w:color w:val="000000"/>
          <w:sz w:val="24"/>
          <w:szCs w:val="24"/>
          <w:lang w:val="fr-BE"/>
        </w:rPr>
      </w:pPr>
    </w:p>
    <w:p w14:paraId="79C6155A" w14:textId="6861C457" w:rsidR="00B42B3E" w:rsidRDefault="00B42B3E">
      <w:pPr>
        <w:rPr>
          <w:rFonts w:ascii="Calibri" w:eastAsia="Times New Roman" w:hAnsi="Calibri" w:cs="Times New Roman"/>
          <w:color w:val="000000"/>
          <w:sz w:val="24"/>
          <w:szCs w:val="24"/>
          <w:lang w:val="fr-BE"/>
        </w:rPr>
      </w:pPr>
      <w:r>
        <w:rPr>
          <w:rFonts w:ascii="Calibri" w:eastAsia="Times New Roman" w:hAnsi="Calibri" w:cs="Times New Roman"/>
          <w:color w:val="000000"/>
          <w:sz w:val="24"/>
          <w:szCs w:val="24"/>
          <w:lang w:val="fr-BE"/>
        </w:rPr>
        <w:t xml:space="preserve">Pour le Bénéficiaire, </w:t>
      </w:r>
    </w:p>
    <w:p w14:paraId="09B63C9D" w14:textId="1C0A9D59" w:rsidR="00B42B3E" w:rsidRDefault="00214E82">
      <w:pPr>
        <w:rPr>
          <w:rFonts w:ascii="Calibri" w:eastAsia="Times New Roman" w:hAnsi="Calibri" w:cs="Times New Roman"/>
          <w:color w:val="000000"/>
          <w:sz w:val="24"/>
          <w:szCs w:val="24"/>
          <w:lang w:val="fr-BE"/>
        </w:rPr>
      </w:pPr>
      <w:r>
        <w:rPr>
          <w:rFonts w:ascii="Calibri" w:eastAsia="Times New Roman" w:hAnsi="Calibri" w:cs="Times New Roman"/>
          <w:color w:val="000000"/>
          <w:sz w:val="24"/>
          <w:szCs w:val="24"/>
          <w:lang w:val="fr-BE"/>
        </w:rPr>
        <w:t>(signature)</w:t>
      </w:r>
    </w:p>
    <w:p w14:paraId="02AB8CF3" w14:textId="77777777" w:rsidR="006128B0" w:rsidRDefault="006128B0">
      <w:pPr>
        <w:rPr>
          <w:rFonts w:ascii="Calibri" w:eastAsia="Times New Roman" w:hAnsi="Calibri" w:cs="Times New Roman"/>
          <w:color w:val="000000"/>
          <w:sz w:val="24"/>
          <w:szCs w:val="24"/>
          <w:lang w:val="fr-BE"/>
        </w:rPr>
      </w:pPr>
    </w:p>
    <w:p w14:paraId="3CCB12BB" w14:textId="77777777" w:rsidR="006D5E0D" w:rsidRPr="004E2293" w:rsidRDefault="006D5E0D">
      <w:pPr>
        <w:rPr>
          <w:lang w:val="fr-BE"/>
        </w:rPr>
      </w:pPr>
    </w:p>
    <w:sectPr w:rsidR="006D5E0D" w:rsidRPr="004E2293" w:rsidSect="00E17A7F">
      <w:footerReference w:type="even" r:id="rId12"/>
      <w:footerReference w:type="default" r:id="rId13"/>
      <w:pgSz w:w="12240" w:h="15840"/>
      <w:pgMar w:top="1418" w:right="1418" w:bottom="198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0CD94" w14:textId="77777777" w:rsidR="002E35AE" w:rsidRDefault="002E35AE" w:rsidP="004E2293">
      <w:pPr>
        <w:spacing w:after="0" w:line="240" w:lineRule="auto"/>
      </w:pPr>
      <w:r>
        <w:separator/>
      </w:r>
    </w:p>
  </w:endnote>
  <w:endnote w:type="continuationSeparator" w:id="0">
    <w:p w14:paraId="7D220E82" w14:textId="77777777" w:rsidR="002E35AE" w:rsidRDefault="002E35AE" w:rsidP="004E2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roximus-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042635980"/>
      <w:docPartObj>
        <w:docPartGallery w:val="Page Numbers (Bottom of Page)"/>
        <w:docPartUnique/>
      </w:docPartObj>
    </w:sdtPr>
    <w:sdtEndPr>
      <w:rPr>
        <w:rStyle w:val="Numrodepage"/>
      </w:rPr>
    </w:sdtEndPr>
    <w:sdtContent>
      <w:p w14:paraId="03104B37" w14:textId="77777777" w:rsidR="00E17A7F" w:rsidRDefault="00E17A7F" w:rsidP="007F56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3223B3F" w14:textId="77777777" w:rsidR="00E17A7F" w:rsidRDefault="00E17A7F" w:rsidP="00E17A7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121731061"/>
      <w:docPartObj>
        <w:docPartGallery w:val="Page Numbers (Bottom of Page)"/>
        <w:docPartUnique/>
      </w:docPartObj>
    </w:sdtPr>
    <w:sdtEndPr>
      <w:rPr>
        <w:rStyle w:val="Numrodepage"/>
      </w:rPr>
    </w:sdtEndPr>
    <w:sdtContent>
      <w:p w14:paraId="2159A0FF" w14:textId="77777777" w:rsidR="00E17A7F" w:rsidRPr="009B52EB" w:rsidRDefault="00E17A7F" w:rsidP="007F5607">
        <w:pPr>
          <w:pStyle w:val="Pieddepage"/>
          <w:framePr w:wrap="none" w:vAnchor="text" w:hAnchor="margin" w:xAlign="right" w:y="1"/>
          <w:rPr>
            <w:rStyle w:val="Numrodepage"/>
            <w:lang w:val="fr-BE"/>
          </w:rPr>
        </w:pPr>
        <w:r>
          <w:rPr>
            <w:rStyle w:val="Numrodepage"/>
          </w:rPr>
          <w:fldChar w:fldCharType="begin"/>
        </w:r>
        <w:r w:rsidRPr="009B52EB">
          <w:rPr>
            <w:rStyle w:val="Numrodepage"/>
            <w:lang w:val="fr-BE"/>
          </w:rPr>
          <w:instrText xml:space="preserve"> PAGE </w:instrText>
        </w:r>
        <w:r>
          <w:rPr>
            <w:rStyle w:val="Numrodepage"/>
          </w:rPr>
          <w:fldChar w:fldCharType="separate"/>
        </w:r>
        <w:r w:rsidR="00D61470">
          <w:rPr>
            <w:rStyle w:val="Numrodepage"/>
            <w:noProof/>
            <w:lang w:val="fr-BE"/>
          </w:rPr>
          <w:t>4</w:t>
        </w:r>
        <w:r>
          <w:rPr>
            <w:rStyle w:val="Numrodepage"/>
          </w:rPr>
          <w:fldChar w:fldCharType="end"/>
        </w:r>
      </w:p>
    </w:sdtContent>
  </w:sdt>
  <w:p w14:paraId="4AC712C9" w14:textId="14DF517F" w:rsidR="00E17A7F" w:rsidRPr="00E17A7F" w:rsidRDefault="00E17A7F" w:rsidP="00E17A7F">
    <w:pPr>
      <w:pStyle w:val="En-tte"/>
      <w:rPr>
        <w:lang w:val="fr-BE"/>
      </w:rPr>
    </w:pPr>
    <w:r>
      <w:rPr>
        <w:lang w:val="fr-BE"/>
      </w:rPr>
      <w:tab/>
    </w:r>
    <w:r>
      <w:rPr>
        <w:lang w:val="fr-BE"/>
      </w:rPr>
      <w:tab/>
    </w:r>
    <w:r w:rsidR="00C10D29">
      <w:rPr>
        <w:lang w:val="fr-BE"/>
      </w:rPr>
      <w:t>29/12</w:t>
    </w:r>
    <w:r>
      <w:rPr>
        <w:lang w:val="fr-BE"/>
      </w:rPr>
      <w:t>/18</w:t>
    </w:r>
  </w:p>
  <w:p w14:paraId="52288E19" w14:textId="77777777" w:rsidR="00E17A7F" w:rsidRPr="00E17A7F" w:rsidRDefault="00E17A7F" w:rsidP="00E17A7F">
    <w:pPr>
      <w:pStyle w:val="Pieddepage"/>
      <w:ind w:right="360"/>
      <w:rPr>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2F211" w14:textId="77777777" w:rsidR="002E35AE" w:rsidRDefault="002E35AE" w:rsidP="004E2293">
      <w:pPr>
        <w:spacing w:after="0" w:line="240" w:lineRule="auto"/>
      </w:pPr>
      <w:r>
        <w:separator/>
      </w:r>
    </w:p>
  </w:footnote>
  <w:footnote w:type="continuationSeparator" w:id="0">
    <w:p w14:paraId="348AA15A" w14:textId="77777777" w:rsidR="002E35AE" w:rsidRDefault="002E35AE" w:rsidP="004E22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91EF7"/>
    <w:multiLevelType w:val="hybridMultilevel"/>
    <w:tmpl w:val="26D64C4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2B1E8230">
      <w:start w:val="5"/>
      <w:numFmt w:val="bullet"/>
      <w:lvlText w:val=""/>
      <w:lvlJc w:val="left"/>
      <w:pPr>
        <w:ind w:left="2520" w:hanging="360"/>
      </w:pPr>
      <w:rPr>
        <w:rFonts w:ascii="Wingdings" w:eastAsia="Times New Roman" w:hAnsi="Wingdings" w:cs="Times New Roman"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D1E6BD8"/>
    <w:multiLevelType w:val="hybridMultilevel"/>
    <w:tmpl w:val="3482DBC0"/>
    <w:lvl w:ilvl="0" w:tplc="5E14B604">
      <w:start w:val="4"/>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C82D94"/>
    <w:multiLevelType w:val="multilevel"/>
    <w:tmpl w:val="6BE830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E9617A"/>
    <w:multiLevelType w:val="hybridMultilevel"/>
    <w:tmpl w:val="3D486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5A5DE4"/>
    <w:multiLevelType w:val="hybridMultilevel"/>
    <w:tmpl w:val="B9FEC788"/>
    <w:lvl w:ilvl="0" w:tplc="1028287C">
      <w:start w:val="5"/>
      <w:numFmt w:val="bullet"/>
      <w:lvlText w:val="-"/>
      <w:lvlJc w:val="left"/>
      <w:pPr>
        <w:ind w:left="1080" w:hanging="360"/>
      </w:pPr>
      <w:rPr>
        <w:rFonts w:ascii="Calibri" w:eastAsia="Times New Roman" w:hAnsi="Calibri" w:cs="Times New Roman" w:hint="default"/>
      </w:rPr>
    </w:lvl>
    <w:lvl w:ilvl="1" w:tplc="040C0003">
      <w:start w:val="1"/>
      <w:numFmt w:val="bullet"/>
      <w:lvlText w:val="o"/>
      <w:lvlJc w:val="left"/>
      <w:pPr>
        <w:ind w:left="1800" w:hanging="360"/>
      </w:pPr>
      <w:rPr>
        <w:rFonts w:ascii="Courier New" w:hAnsi="Courier New" w:cs="Courier New" w:hint="default"/>
      </w:rPr>
    </w:lvl>
    <w:lvl w:ilvl="2" w:tplc="2B1E8230">
      <w:start w:val="5"/>
      <w:numFmt w:val="bullet"/>
      <w:lvlText w:val=""/>
      <w:lvlJc w:val="left"/>
      <w:pPr>
        <w:ind w:left="2520" w:hanging="360"/>
      </w:pPr>
      <w:rPr>
        <w:rFonts w:ascii="Wingdings" w:eastAsia="Times New Roman" w:hAnsi="Wingdings" w:cs="Times New Roman"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3EFF762D"/>
    <w:multiLevelType w:val="hybridMultilevel"/>
    <w:tmpl w:val="CC58CE0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FD93851"/>
    <w:multiLevelType w:val="multilevel"/>
    <w:tmpl w:val="5936D5B4"/>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7" w15:restartNumberingAfterBreak="0">
    <w:nsid w:val="45AE60FB"/>
    <w:multiLevelType w:val="hybridMultilevel"/>
    <w:tmpl w:val="875C436A"/>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2B1E8230">
      <w:start w:val="5"/>
      <w:numFmt w:val="bullet"/>
      <w:lvlText w:val=""/>
      <w:lvlJc w:val="left"/>
      <w:pPr>
        <w:ind w:left="2520" w:hanging="360"/>
      </w:pPr>
      <w:rPr>
        <w:rFonts w:ascii="Wingdings" w:eastAsia="Times New Roman" w:hAnsi="Wingdings" w:cs="Times New Roman"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18C167F"/>
    <w:multiLevelType w:val="hybridMultilevel"/>
    <w:tmpl w:val="CFB863C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3335B0E"/>
    <w:multiLevelType w:val="hybridMultilevel"/>
    <w:tmpl w:val="FCB677F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64067490"/>
    <w:multiLevelType w:val="multilevel"/>
    <w:tmpl w:val="145204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3"/>
  </w:num>
  <w:num w:numId="3">
    <w:abstractNumId w:val="2"/>
  </w:num>
  <w:num w:numId="4">
    <w:abstractNumId w:val="1"/>
  </w:num>
  <w:num w:numId="5">
    <w:abstractNumId w:val="6"/>
  </w:num>
  <w:num w:numId="6">
    <w:abstractNumId w:val="8"/>
  </w:num>
  <w:num w:numId="7">
    <w:abstractNumId w:val="4"/>
  </w:num>
  <w:num w:numId="8">
    <w:abstractNumId w:val="7"/>
  </w:num>
  <w:num w:numId="9">
    <w:abstractNumId w:val="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293"/>
    <w:rsid w:val="000044E7"/>
    <w:rsid w:val="000135EB"/>
    <w:rsid w:val="00060188"/>
    <w:rsid w:val="000A3E22"/>
    <w:rsid w:val="000A490F"/>
    <w:rsid w:val="000E0D5D"/>
    <w:rsid w:val="00116410"/>
    <w:rsid w:val="0018056D"/>
    <w:rsid w:val="001C5405"/>
    <w:rsid w:val="001D05BA"/>
    <w:rsid w:val="001D6F12"/>
    <w:rsid w:val="00214E82"/>
    <w:rsid w:val="00281C78"/>
    <w:rsid w:val="00283583"/>
    <w:rsid w:val="002E35AE"/>
    <w:rsid w:val="00356E31"/>
    <w:rsid w:val="003A1610"/>
    <w:rsid w:val="00420D04"/>
    <w:rsid w:val="004B5CB6"/>
    <w:rsid w:val="004E2293"/>
    <w:rsid w:val="0051215F"/>
    <w:rsid w:val="005411BD"/>
    <w:rsid w:val="0055367A"/>
    <w:rsid w:val="005746F1"/>
    <w:rsid w:val="006128B0"/>
    <w:rsid w:val="006D5E0D"/>
    <w:rsid w:val="0075289E"/>
    <w:rsid w:val="007617FB"/>
    <w:rsid w:val="007B3CAA"/>
    <w:rsid w:val="007D1B44"/>
    <w:rsid w:val="007E77EC"/>
    <w:rsid w:val="00832D6F"/>
    <w:rsid w:val="008536B6"/>
    <w:rsid w:val="008D23D7"/>
    <w:rsid w:val="008D4D6E"/>
    <w:rsid w:val="008E29BD"/>
    <w:rsid w:val="008E77AA"/>
    <w:rsid w:val="0092196E"/>
    <w:rsid w:val="0092228A"/>
    <w:rsid w:val="00951E90"/>
    <w:rsid w:val="0096005E"/>
    <w:rsid w:val="0097375C"/>
    <w:rsid w:val="00977463"/>
    <w:rsid w:val="00996160"/>
    <w:rsid w:val="009B52EB"/>
    <w:rsid w:val="009C0350"/>
    <w:rsid w:val="00A358EC"/>
    <w:rsid w:val="00A57D81"/>
    <w:rsid w:val="00B41E1E"/>
    <w:rsid w:val="00B42B3E"/>
    <w:rsid w:val="00B63DD5"/>
    <w:rsid w:val="00B6757D"/>
    <w:rsid w:val="00B87262"/>
    <w:rsid w:val="00BA76EA"/>
    <w:rsid w:val="00BE4FC8"/>
    <w:rsid w:val="00BE567A"/>
    <w:rsid w:val="00C10D29"/>
    <w:rsid w:val="00C45EFA"/>
    <w:rsid w:val="00C62E37"/>
    <w:rsid w:val="00C87AD0"/>
    <w:rsid w:val="00D2571F"/>
    <w:rsid w:val="00D30102"/>
    <w:rsid w:val="00D574E2"/>
    <w:rsid w:val="00D61470"/>
    <w:rsid w:val="00D87D7F"/>
    <w:rsid w:val="00D93D64"/>
    <w:rsid w:val="00DA65CA"/>
    <w:rsid w:val="00DC4010"/>
    <w:rsid w:val="00E10F83"/>
    <w:rsid w:val="00E17A7F"/>
    <w:rsid w:val="00E64D53"/>
    <w:rsid w:val="00E95C54"/>
    <w:rsid w:val="00EE0BF1"/>
    <w:rsid w:val="00FA539D"/>
    <w:rsid w:val="00FB19A0"/>
    <w:rsid w:val="00FB7112"/>
    <w:rsid w:val="00FC1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D9EFE"/>
  <w15:chartTrackingRefBased/>
  <w15:docId w15:val="{D14C85CE-37C1-4926-9408-94FD4FE4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83"/>
  </w:style>
  <w:style w:type="paragraph" w:styleId="Titre1">
    <w:name w:val="heading 1"/>
    <w:basedOn w:val="Normal"/>
    <w:next w:val="Normal"/>
    <w:link w:val="Titre1Car"/>
    <w:uiPriority w:val="9"/>
    <w:qFormat/>
    <w:rsid w:val="000601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2293"/>
    <w:pPr>
      <w:tabs>
        <w:tab w:val="center" w:pos="4703"/>
        <w:tab w:val="right" w:pos="9406"/>
      </w:tabs>
      <w:spacing w:after="0" w:line="240" w:lineRule="auto"/>
    </w:pPr>
  </w:style>
  <w:style w:type="character" w:customStyle="1" w:styleId="En-tteCar">
    <w:name w:val="En-tête Car"/>
    <w:basedOn w:val="Policepardfaut"/>
    <w:link w:val="En-tte"/>
    <w:uiPriority w:val="99"/>
    <w:rsid w:val="004E2293"/>
  </w:style>
  <w:style w:type="paragraph" w:styleId="Pieddepage">
    <w:name w:val="footer"/>
    <w:basedOn w:val="Normal"/>
    <w:link w:val="PieddepageCar"/>
    <w:uiPriority w:val="99"/>
    <w:unhideWhenUsed/>
    <w:rsid w:val="004E2293"/>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E2293"/>
  </w:style>
  <w:style w:type="paragraph" w:styleId="Paragraphedeliste">
    <w:name w:val="List Paragraph"/>
    <w:basedOn w:val="Normal"/>
    <w:uiPriority w:val="34"/>
    <w:qFormat/>
    <w:rsid w:val="004E2293"/>
    <w:pPr>
      <w:ind w:left="720"/>
      <w:contextualSpacing/>
    </w:pPr>
  </w:style>
  <w:style w:type="character" w:customStyle="1" w:styleId="Titre1Car">
    <w:name w:val="Titre 1 Car"/>
    <w:basedOn w:val="Policepardfaut"/>
    <w:link w:val="Titre1"/>
    <w:uiPriority w:val="9"/>
    <w:rsid w:val="00060188"/>
    <w:rPr>
      <w:rFonts w:asciiTheme="majorHAnsi" w:eastAsiaTheme="majorEastAsia" w:hAnsiTheme="majorHAnsi" w:cstheme="majorBidi"/>
      <w:color w:val="2E74B5" w:themeColor="accent1" w:themeShade="BF"/>
      <w:sz w:val="32"/>
      <w:szCs w:val="32"/>
    </w:rPr>
  </w:style>
  <w:style w:type="paragraph" w:styleId="Textedebulles">
    <w:name w:val="Balloon Text"/>
    <w:basedOn w:val="Normal"/>
    <w:link w:val="TextedebullesCar"/>
    <w:uiPriority w:val="99"/>
    <w:semiHidden/>
    <w:unhideWhenUsed/>
    <w:rsid w:val="00356E31"/>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356E31"/>
    <w:rPr>
      <w:rFonts w:ascii="Times New Roman" w:hAnsi="Times New Roman" w:cs="Times New Roman"/>
      <w:sz w:val="18"/>
      <w:szCs w:val="18"/>
    </w:rPr>
  </w:style>
  <w:style w:type="character" w:styleId="Numrodepage">
    <w:name w:val="page number"/>
    <w:basedOn w:val="Policepardfaut"/>
    <w:uiPriority w:val="99"/>
    <w:semiHidden/>
    <w:unhideWhenUsed/>
    <w:rsid w:val="00E17A7F"/>
  </w:style>
  <w:style w:type="paragraph" w:styleId="PrformatHTML">
    <w:name w:val="HTML Preformatted"/>
    <w:basedOn w:val="Normal"/>
    <w:link w:val="PrformatHTMLCar"/>
    <w:uiPriority w:val="99"/>
    <w:unhideWhenUsed/>
    <w:rsid w:val="00BE4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BE" w:eastAsia="fr-BE"/>
    </w:rPr>
  </w:style>
  <w:style w:type="character" w:customStyle="1" w:styleId="PrformatHTMLCar">
    <w:name w:val="Préformaté HTML Car"/>
    <w:basedOn w:val="Policepardfaut"/>
    <w:link w:val="PrformatHTML"/>
    <w:uiPriority w:val="99"/>
    <w:rsid w:val="00BE4FC8"/>
    <w:rPr>
      <w:rFonts w:ascii="Courier New" w:eastAsia="Times New Roman" w:hAnsi="Courier New" w:cs="Courier New"/>
      <w:sz w:val="20"/>
      <w:szCs w:val="20"/>
      <w:lang w:val="fr-BE" w:eastAsia="fr-BE"/>
    </w:rPr>
  </w:style>
  <w:style w:type="table" w:customStyle="1" w:styleId="TableNormal1">
    <w:name w:val="Table Normal1"/>
    <w:uiPriority w:val="2"/>
    <w:semiHidden/>
    <w:unhideWhenUsed/>
    <w:qFormat/>
    <w:rsid w:val="00BE4FC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BE4FC8"/>
    <w:pPr>
      <w:widowControl w:val="0"/>
      <w:autoSpaceDE w:val="0"/>
      <w:autoSpaceDN w:val="0"/>
      <w:spacing w:after="0" w:line="240" w:lineRule="auto"/>
    </w:pPr>
    <w:rPr>
      <w:rFonts w:ascii="Tahoma" w:eastAsia="Tahoma" w:hAnsi="Tahoma" w:cs="Tahoma"/>
      <w:sz w:val="20"/>
      <w:szCs w:val="20"/>
    </w:rPr>
  </w:style>
  <w:style w:type="character" w:customStyle="1" w:styleId="CorpsdetexteCar">
    <w:name w:val="Corps de texte Car"/>
    <w:basedOn w:val="Policepardfaut"/>
    <w:link w:val="Corpsdetexte"/>
    <w:uiPriority w:val="1"/>
    <w:rsid w:val="00BE4FC8"/>
    <w:rPr>
      <w:rFonts w:ascii="Tahoma" w:eastAsia="Tahoma" w:hAnsi="Tahoma" w:cs="Tahoma"/>
      <w:sz w:val="20"/>
      <w:szCs w:val="20"/>
    </w:rPr>
  </w:style>
  <w:style w:type="paragraph" w:customStyle="1" w:styleId="TableParagraph">
    <w:name w:val="Table Paragraph"/>
    <w:basedOn w:val="Normal"/>
    <w:uiPriority w:val="1"/>
    <w:qFormat/>
    <w:rsid w:val="00BE4FC8"/>
    <w:pPr>
      <w:widowControl w:val="0"/>
      <w:autoSpaceDE w:val="0"/>
      <w:autoSpaceDN w:val="0"/>
      <w:spacing w:before="18" w:after="0" w:line="240" w:lineRule="auto"/>
      <w:ind w:left="885"/>
      <w:jc w:val="center"/>
    </w:pPr>
    <w:rPr>
      <w:rFonts w:ascii="Tahoma" w:eastAsia="Tahoma" w:hAnsi="Tahoma" w:cs="Tahoma"/>
    </w:rPr>
  </w:style>
  <w:style w:type="character" w:styleId="Marquedecommentaire">
    <w:name w:val="annotation reference"/>
    <w:basedOn w:val="Policepardfaut"/>
    <w:uiPriority w:val="99"/>
    <w:semiHidden/>
    <w:unhideWhenUsed/>
    <w:rsid w:val="00BE4FC8"/>
    <w:rPr>
      <w:sz w:val="16"/>
      <w:szCs w:val="16"/>
    </w:rPr>
  </w:style>
  <w:style w:type="paragraph" w:styleId="Commentaire">
    <w:name w:val="annotation text"/>
    <w:basedOn w:val="Normal"/>
    <w:link w:val="CommentaireCar"/>
    <w:uiPriority w:val="99"/>
    <w:semiHidden/>
    <w:unhideWhenUsed/>
    <w:rsid w:val="00BE4FC8"/>
    <w:pPr>
      <w:spacing w:line="240" w:lineRule="auto"/>
    </w:pPr>
    <w:rPr>
      <w:sz w:val="20"/>
      <w:szCs w:val="20"/>
    </w:rPr>
  </w:style>
  <w:style w:type="character" w:customStyle="1" w:styleId="CommentaireCar">
    <w:name w:val="Commentaire Car"/>
    <w:basedOn w:val="Policepardfaut"/>
    <w:link w:val="Commentaire"/>
    <w:uiPriority w:val="99"/>
    <w:semiHidden/>
    <w:rsid w:val="00BE4FC8"/>
    <w:rPr>
      <w:sz w:val="20"/>
      <w:szCs w:val="20"/>
    </w:rPr>
  </w:style>
  <w:style w:type="paragraph" w:styleId="Objetducommentaire">
    <w:name w:val="annotation subject"/>
    <w:basedOn w:val="Commentaire"/>
    <w:next w:val="Commentaire"/>
    <w:link w:val="ObjetducommentaireCar"/>
    <w:uiPriority w:val="99"/>
    <w:semiHidden/>
    <w:unhideWhenUsed/>
    <w:rsid w:val="008D4D6E"/>
    <w:rPr>
      <w:b/>
      <w:bCs/>
    </w:rPr>
  </w:style>
  <w:style w:type="character" w:customStyle="1" w:styleId="ObjetducommentaireCar">
    <w:name w:val="Objet du commentaire Car"/>
    <w:basedOn w:val="CommentaireCar"/>
    <w:link w:val="Objetducommentaire"/>
    <w:uiPriority w:val="99"/>
    <w:semiHidden/>
    <w:rsid w:val="008D4D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1386">
      <w:bodyDiv w:val="1"/>
      <w:marLeft w:val="0"/>
      <w:marRight w:val="0"/>
      <w:marTop w:val="0"/>
      <w:marBottom w:val="0"/>
      <w:divBdr>
        <w:top w:val="none" w:sz="0" w:space="0" w:color="auto"/>
        <w:left w:val="none" w:sz="0" w:space="0" w:color="auto"/>
        <w:bottom w:val="none" w:sz="0" w:space="0" w:color="auto"/>
        <w:right w:val="none" w:sz="0" w:space="0" w:color="auto"/>
      </w:divBdr>
    </w:div>
    <w:div w:id="228394086">
      <w:bodyDiv w:val="1"/>
      <w:marLeft w:val="0"/>
      <w:marRight w:val="0"/>
      <w:marTop w:val="0"/>
      <w:marBottom w:val="0"/>
      <w:divBdr>
        <w:top w:val="none" w:sz="0" w:space="0" w:color="auto"/>
        <w:left w:val="none" w:sz="0" w:space="0" w:color="auto"/>
        <w:bottom w:val="none" w:sz="0" w:space="0" w:color="auto"/>
        <w:right w:val="none" w:sz="0" w:space="0" w:color="auto"/>
      </w:divBdr>
    </w:div>
    <w:div w:id="1037042417">
      <w:bodyDiv w:val="1"/>
      <w:marLeft w:val="0"/>
      <w:marRight w:val="0"/>
      <w:marTop w:val="0"/>
      <w:marBottom w:val="0"/>
      <w:divBdr>
        <w:top w:val="none" w:sz="0" w:space="0" w:color="auto"/>
        <w:left w:val="none" w:sz="0" w:space="0" w:color="auto"/>
        <w:bottom w:val="none" w:sz="0" w:space="0" w:color="auto"/>
        <w:right w:val="none" w:sz="0" w:space="0" w:color="auto"/>
      </w:divBdr>
    </w:div>
    <w:div w:id="1300375913">
      <w:bodyDiv w:val="1"/>
      <w:marLeft w:val="0"/>
      <w:marRight w:val="0"/>
      <w:marTop w:val="0"/>
      <w:marBottom w:val="0"/>
      <w:divBdr>
        <w:top w:val="none" w:sz="0" w:space="0" w:color="auto"/>
        <w:left w:val="none" w:sz="0" w:space="0" w:color="auto"/>
        <w:bottom w:val="none" w:sz="0" w:space="0" w:color="auto"/>
        <w:right w:val="none" w:sz="0" w:space="0" w:color="auto"/>
      </w:divBdr>
    </w:div>
    <w:div w:id="1640184731">
      <w:bodyDiv w:val="1"/>
      <w:marLeft w:val="0"/>
      <w:marRight w:val="0"/>
      <w:marTop w:val="0"/>
      <w:marBottom w:val="0"/>
      <w:divBdr>
        <w:top w:val="none" w:sz="0" w:space="0" w:color="auto"/>
        <w:left w:val="none" w:sz="0" w:space="0" w:color="auto"/>
        <w:bottom w:val="none" w:sz="0" w:space="0" w:color="auto"/>
        <w:right w:val="none" w:sz="0" w:space="0" w:color="auto"/>
      </w:divBdr>
    </w:div>
    <w:div w:id="1652172153">
      <w:bodyDiv w:val="1"/>
      <w:marLeft w:val="0"/>
      <w:marRight w:val="0"/>
      <w:marTop w:val="0"/>
      <w:marBottom w:val="0"/>
      <w:divBdr>
        <w:top w:val="none" w:sz="0" w:space="0" w:color="auto"/>
        <w:left w:val="none" w:sz="0" w:space="0" w:color="auto"/>
        <w:bottom w:val="none" w:sz="0" w:space="0" w:color="auto"/>
        <w:right w:val="none" w:sz="0" w:space="0" w:color="auto"/>
      </w:divBdr>
    </w:div>
    <w:div w:id="1683818467">
      <w:bodyDiv w:val="1"/>
      <w:marLeft w:val="0"/>
      <w:marRight w:val="0"/>
      <w:marTop w:val="0"/>
      <w:marBottom w:val="0"/>
      <w:divBdr>
        <w:top w:val="none" w:sz="0" w:space="0" w:color="auto"/>
        <w:left w:val="none" w:sz="0" w:space="0" w:color="auto"/>
        <w:bottom w:val="none" w:sz="0" w:space="0" w:color="auto"/>
        <w:right w:val="none" w:sz="0" w:space="0" w:color="auto"/>
      </w:divBdr>
    </w:div>
    <w:div w:id="1728188943">
      <w:bodyDiv w:val="1"/>
      <w:marLeft w:val="0"/>
      <w:marRight w:val="0"/>
      <w:marTop w:val="0"/>
      <w:marBottom w:val="0"/>
      <w:divBdr>
        <w:top w:val="none" w:sz="0" w:space="0" w:color="auto"/>
        <w:left w:val="none" w:sz="0" w:space="0" w:color="auto"/>
        <w:bottom w:val="none" w:sz="0" w:space="0" w:color="auto"/>
        <w:right w:val="none" w:sz="0" w:space="0" w:color="auto"/>
      </w:divBdr>
      <w:divsChild>
        <w:div w:id="1593511923">
          <w:marLeft w:val="0"/>
          <w:marRight w:val="0"/>
          <w:marTop w:val="0"/>
          <w:marBottom w:val="0"/>
          <w:divBdr>
            <w:top w:val="none" w:sz="0" w:space="0" w:color="auto"/>
            <w:left w:val="none" w:sz="0" w:space="0" w:color="auto"/>
            <w:bottom w:val="none" w:sz="0" w:space="0" w:color="auto"/>
            <w:right w:val="none" w:sz="0" w:space="0" w:color="auto"/>
          </w:divBdr>
          <w:divsChild>
            <w:div w:id="1418743699">
              <w:marLeft w:val="0"/>
              <w:marRight w:val="0"/>
              <w:marTop w:val="0"/>
              <w:marBottom w:val="0"/>
              <w:divBdr>
                <w:top w:val="none" w:sz="0" w:space="0" w:color="auto"/>
                <w:left w:val="none" w:sz="0" w:space="0" w:color="auto"/>
                <w:bottom w:val="none" w:sz="0" w:space="0" w:color="auto"/>
                <w:right w:val="none" w:sz="0" w:space="0" w:color="auto"/>
              </w:divBdr>
              <w:divsChild>
                <w:div w:id="20251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1940">
      <w:bodyDiv w:val="1"/>
      <w:marLeft w:val="0"/>
      <w:marRight w:val="0"/>
      <w:marTop w:val="0"/>
      <w:marBottom w:val="0"/>
      <w:divBdr>
        <w:top w:val="none" w:sz="0" w:space="0" w:color="auto"/>
        <w:left w:val="none" w:sz="0" w:space="0" w:color="auto"/>
        <w:bottom w:val="none" w:sz="0" w:space="0" w:color="auto"/>
        <w:right w:val="none" w:sz="0" w:space="0" w:color="auto"/>
      </w:divBdr>
    </w:div>
    <w:div w:id="1960913816">
      <w:bodyDiv w:val="1"/>
      <w:marLeft w:val="0"/>
      <w:marRight w:val="0"/>
      <w:marTop w:val="0"/>
      <w:marBottom w:val="0"/>
      <w:divBdr>
        <w:top w:val="none" w:sz="0" w:space="0" w:color="auto"/>
        <w:left w:val="none" w:sz="0" w:space="0" w:color="auto"/>
        <w:bottom w:val="none" w:sz="0" w:space="0" w:color="auto"/>
        <w:right w:val="none" w:sz="0" w:space="0" w:color="auto"/>
      </w:divBdr>
    </w:div>
    <w:div w:id="214538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742DD53DE55C4585A18F6E772C4991" ma:contentTypeVersion="4" ma:contentTypeDescription="Crée un document." ma:contentTypeScope="" ma:versionID="20016874e48f96a2a93746f893f97f47">
  <xsd:schema xmlns:xsd="http://www.w3.org/2001/XMLSchema" xmlns:xs="http://www.w3.org/2001/XMLSchema" xmlns:p="http://schemas.microsoft.com/office/2006/metadata/properties" xmlns:ns2="3efe03c3-1b3e-4858-a605-9e0c064e49ea" targetNamespace="http://schemas.microsoft.com/office/2006/metadata/properties" ma:root="true" ma:fieldsID="db46b9c40903670b9c2a111ad2473347" ns2:_="">
    <xsd:import namespace="3efe03c3-1b3e-4858-a605-9e0c064e49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e03c3-1b3e-4858-a605-9e0c064e49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2FC37-D938-41D7-AC23-6873FDF41C33}"/>
</file>

<file path=customXml/itemProps2.xml><?xml version="1.0" encoding="utf-8"?>
<ds:datastoreItem xmlns:ds="http://schemas.openxmlformats.org/officeDocument/2006/customXml" ds:itemID="{9978A0E0-FF41-481C-935F-253CA8D12245}">
  <ds:schemaRefs>
    <ds:schemaRef ds:uri="http://schemas.microsoft.com/sharepoint/v3/contenttype/forms"/>
  </ds:schemaRefs>
</ds:datastoreItem>
</file>

<file path=customXml/itemProps3.xml><?xml version="1.0" encoding="utf-8"?>
<ds:datastoreItem xmlns:ds="http://schemas.openxmlformats.org/officeDocument/2006/customXml" ds:itemID="{2725F87B-E7B3-42DB-BAD5-40DE7A4929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BE8E79-1172-407B-AC21-FBC25B2B1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580</Words>
  <Characters>3307</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NETHYS</Company>
  <LinksUpToDate>false</LinksUpToDate>
  <CharactersWithSpaces>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Georgios.MAVROIDIS@contractor.voo.be</dc:creator>
  <cp:keywords/>
  <dc:description/>
  <cp:lastModifiedBy>THOMAS Charlotte</cp:lastModifiedBy>
  <cp:revision>3</cp:revision>
  <dcterms:created xsi:type="dcterms:W3CDTF">2018-12-28T11:11:00Z</dcterms:created>
  <dcterms:modified xsi:type="dcterms:W3CDTF">2019-07-23T17:16:00Z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0x0101000D742DD53DE55C4585A18F6E772C4991</vt:lpwstr>
  </property>
</Properties>
</file>